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96" w:rsidRDefault="00753496" w:rsidP="00753496">
      <w:pPr>
        <w:spacing w:after="0" w:line="360" w:lineRule="auto"/>
        <w:jc w:val="center"/>
      </w:pPr>
    </w:p>
    <w:p w:rsidR="00753496" w:rsidRDefault="00753496" w:rsidP="00753496">
      <w:pPr>
        <w:spacing w:after="0" w:line="360" w:lineRule="auto"/>
        <w:jc w:val="center"/>
      </w:pPr>
    </w:p>
    <w:p w:rsidR="00753496" w:rsidRDefault="00753496" w:rsidP="00753496">
      <w:pPr>
        <w:spacing w:after="0" w:line="360" w:lineRule="auto"/>
        <w:jc w:val="center"/>
      </w:pPr>
    </w:p>
    <w:p w:rsidR="00753496" w:rsidRDefault="00753496" w:rsidP="00753496">
      <w:pPr>
        <w:spacing w:after="0" w:line="360" w:lineRule="auto"/>
        <w:jc w:val="center"/>
      </w:pPr>
    </w:p>
    <w:p w:rsidR="000D707F" w:rsidRDefault="008E37BA" w:rsidP="00753496">
      <w:pPr>
        <w:spacing w:after="0" w:line="360" w:lineRule="auto"/>
        <w:jc w:val="center"/>
      </w:pPr>
      <w:r w:rsidRPr="008E37BA">
        <w:rPr>
          <w:noProof/>
        </w:rPr>
        <w:drawing>
          <wp:inline distT="0" distB="0" distL="0" distR="0">
            <wp:extent cx="4568635" cy="3352800"/>
            <wp:effectExtent l="19050" t="0" r="3365" b="0"/>
            <wp:docPr id="4" name="Picture 18" descr="C:\Users\Angela\Downloads\Angela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ownloads\Angela Diag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16" cy="335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BA" w:rsidRPr="00C87A74" w:rsidRDefault="008E37BA" w:rsidP="00753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  <w:r w:rsidRPr="00C87A74">
        <w:rPr>
          <w:rFonts w:ascii="Times New Roman" w:hAnsi="Times New Roman" w:cs="Times New Roman"/>
          <w:b/>
          <w:sz w:val="24"/>
          <w:szCs w:val="24"/>
        </w:rPr>
        <w:t>.</w:t>
      </w:r>
      <w:r w:rsidRPr="00C87A74">
        <w:rPr>
          <w:rFonts w:ascii="Times New Roman" w:hAnsi="Times New Roman" w:cs="Times New Roman"/>
          <w:sz w:val="24"/>
          <w:szCs w:val="24"/>
        </w:rPr>
        <w:t xml:space="preserve"> Experimental design of </w:t>
      </w:r>
      <w:proofErr w:type="spellStart"/>
      <w:r w:rsidRPr="00C87A74">
        <w:rPr>
          <w:rFonts w:ascii="Times New Roman" w:hAnsi="Times New Roman" w:cs="Times New Roman"/>
          <w:i/>
          <w:sz w:val="24"/>
          <w:szCs w:val="24"/>
        </w:rPr>
        <w:t>Stagnicola</w:t>
      </w:r>
      <w:proofErr w:type="spellEnd"/>
      <w:r w:rsidRPr="00C87A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A74">
        <w:rPr>
          <w:rFonts w:ascii="Times New Roman" w:hAnsi="Times New Roman" w:cs="Times New Roman"/>
          <w:i/>
          <w:sz w:val="24"/>
          <w:szCs w:val="24"/>
        </w:rPr>
        <w:t>elode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C87A74">
        <w:rPr>
          <w:rFonts w:ascii="Times New Roman" w:hAnsi="Times New Roman" w:cs="Times New Roman"/>
          <w:sz w:val="24"/>
          <w:szCs w:val="24"/>
        </w:rPr>
        <w:t xml:space="preserve"> laboratory stud</w:t>
      </w:r>
      <w:bookmarkStart w:id="0" w:name="_GoBack"/>
      <w:bookmarkEnd w:id="0"/>
      <w:r w:rsidRPr="00C87A74">
        <w:rPr>
          <w:rFonts w:ascii="Times New Roman" w:hAnsi="Times New Roman" w:cs="Times New Roman"/>
          <w:sz w:val="24"/>
          <w:szCs w:val="24"/>
        </w:rPr>
        <w:t>y with snails undergoing exp</w:t>
      </w:r>
      <w:r w:rsidR="009931E4">
        <w:rPr>
          <w:rFonts w:ascii="Times New Roman" w:hAnsi="Times New Roman" w:cs="Times New Roman"/>
          <w:sz w:val="24"/>
          <w:szCs w:val="24"/>
        </w:rPr>
        <w:t>osure for 14 days</w:t>
      </w:r>
      <w:r w:rsidR="009B60C1">
        <w:rPr>
          <w:rFonts w:ascii="Times New Roman" w:hAnsi="Times New Roman" w:cs="Times New Roman"/>
          <w:sz w:val="24"/>
          <w:szCs w:val="24"/>
        </w:rPr>
        <w:t xml:space="preserve"> (S4, S7, S14) </w:t>
      </w:r>
      <w:r w:rsidR="009931E4">
        <w:rPr>
          <w:rFonts w:ascii="Times New Roman" w:hAnsi="Times New Roman" w:cs="Times New Roman"/>
          <w:sz w:val="24"/>
          <w:szCs w:val="24"/>
        </w:rPr>
        <w:t xml:space="preserve"> followed by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B60C1">
        <w:rPr>
          <w:rFonts w:ascii="Times New Roman" w:hAnsi="Times New Roman" w:cs="Times New Roman"/>
          <w:sz w:val="24"/>
          <w:szCs w:val="24"/>
        </w:rPr>
        <w:t xml:space="preserve"> 7-d depuration period (S7D) or 7-d hibernation period (S7F), plus control (C).</w:t>
      </w:r>
    </w:p>
    <w:p w:rsidR="008E37BA" w:rsidRDefault="008E37BA" w:rsidP="00753496">
      <w:pPr>
        <w:spacing w:after="0" w:line="360" w:lineRule="auto"/>
        <w:jc w:val="center"/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E8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B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624840</wp:posOffset>
            </wp:positionV>
            <wp:extent cx="4607560" cy="3063240"/>
            <wp:effectExtent l="0" t="0" r="0" b="0"/>
            <wp:wrapTopAndBottom/>
            <wp:docPr id="7" name="Chart 2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B" w:rsidRDefault="001723BB" w:rsidP="007534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37BA" w:rsidRDefault="008E37BA" w:rsidP="0075349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1152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1525">
        <w:rPr>
          <w:rFonts w:ascii="Times New Roman" w:hAnsi="Times New Roman" w:cs="Times New Roman"/>
          <w:b/>
          <w:sz w:val="24"/>
          <w:szCs w:val="24"/>
        </w:rPr>
        <w:t>.</w:t>
      </w:r>
      <w:r w:rsidRPr="00611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SE) total abundances of sulfonamide antibiotic resistant genes standardized to abundances of 16S rRNA from laboratory jar water samples and analyzed using qPCR. C</w:t>
      </w:r>
      <w:r w:rsidR="00464B2C">
        <w:rPr>
          <w:rFonts w:ascii="Times New Roman" w:eastAsiaTheme="minorEastAsia" w:hAnsi="Times New Roman" w:cs="Times New Roman"/>
          <w:sz w:val="24"/>
          <w:szCs w:val="24"/>
        </w:rPr>
        <w:t>4 represents a control on day 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 represents SMX treated jars.</w:t>
      </w:r>
      <w:r w:rsidR="009931E4">
        <w:rPr>
          <w:rFonts w:ascii="Times New Roman" w:eastAsiaTheme="minorEastAsia" w:hAnsi="Times New Roman" w:cs="Times New Roman"/>
          <w:sz w:val="24"/>
          <w:szCs w:val="24"/>
        </w:rPr>
        <w:t xml:space="preserve"> S4 </w:t>
      </w:r>
      <w:r w:rsidR="00464B2C">
        <w:rPr>
          <w:rFonts w:ascii="Times New Roman" w:eastAsiaTheme="minorEastAsia" w:hAnsi="Times New Roman" w:cs="Times New Roman"/>
          <w:sz w:val="24"/>
          <w:szCs w:val="24"/>
        </w:rPr>
        <w:t>(n=3)</w:t>
      </w:r>
      <w:r w:rsidR="002573F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64B2C">
        <w:rPr>
          <w:rFonts w:ascii="Times New Roman" w:eastAsiaTheme="minorEastAsia" w:hAnsi="Times New Roman" w:cs="Times New Roman"/>
          <w:sz w:val="24"/>
          <w:szCs w:val="24"/>
        </w:rPr>
        <w:t xml:space="preserve"> S7 (n=3)</w:t>
      </w:r>
      <w:r w:rsidR="002573F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64B2C">
        <w:rPr>
          <w:rFonts w:ascii="Times New Roman" w:eastAsiaTheme="minorEastAsia" w:hAnsi="Times New Roman" w:cs="Times New Roman"/>
          <w:sz w:val="24"/>
          <w:szCs w:val="24"/>
        </w:rPr>
        <w:t xml:space="preserve"> and S14 (n=3) represent the average abundance of ARGs in</w:t>
      </w:r>
      <w:r w:rsidR="002573FE">
        <w:rPr>
          <w:rFonts w:ascii="Times New Roman" w:eastAsiaTheme="minorEastAsia" w:hAnsi="Times New Roman" w:cs="Times New Roman"/>
          <w:sz w:val="24"/>
          <w:szCs w:val="24"/>
        </w:rPr>
        <w:t xml:space="preserve"> SMX</w:t>
      </w:r>
      <w:r w:rsidR="00464B2C">
        <w:rPr>
          <w:rFonts w:ascii="Times New Roman" w:eastAsiaTheme="minorEastAsia" w:hAnsi="Times New Roman" w:cs="Times New Roman"/>
          <w:sz w:val="24"/>
          <w:szCs w:val="24"/>
        </w:rPr>
        <w:t xml:space="preserve"> treatment jars on day 4, day 7, and day 14. Snails from S14 treatment jars were transferred to </w:t>
      </w:r>
      <w:proofErr w:type="gramStart"/>
      <w:r w:rsidR="00464B2C">
        <w:rPr>
          <w:rFonts w:ascii="Times New Roman" w:eastAsiaTheme="minorEastAsia" w:hAnsi="Times New Roman" w:cs="Times New Roman"/>
          <w:sz w:val="24"/>
          <w:szCs w:val="24"/>
        </w:rPr>
        <w:t>untreated</w:t>
      </w:r>
      <w:proofErr w:type="gramEnd"/>
      <w:r w:rsidR="00464B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73FE">
        <w:rPr>
          <w:rFonts w:ascii="Times New Roman" w:eastAsiaTheme="minorEastAsia" w:hAnsi="Times New Roman" w:cs="Times New Roman"/>
          <w:sz w:val="24"/>
          <w:szCs w:val="24"/>
        </w:rPr>
        <w:t xml:space="preserve">(no SMX) </w:t>
      </w:r>
      <w:r w:rsidR="00464B2C">
        <w:rPr>
          <w:rFonts w:ascii="Times New Roman" w:eastAsiaTheme="minorEastAsia" w:hAnsi="Times New Roman" w:cs="Times New Roman"/>
          <w:sz w:val="24"/>
          <w:szCs w:val="24"/>
        </w:rPr>
        <w:t>media in the seven day depuration (S7D) and hibernation jars (S7F). The average abundance of ARGs were then measured in the seven day depuration jar (S7D; n=3) and seven day hibernation jar (S7F; n=3</w:t>
      </w:r>
      <w:r w:rsidR="0090023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64B2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21E8" w:rsidRDefault="005A21E8" w:rsidP="007534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A21E8" w:rsidRDefault="00F3070A" w:rsidP="007534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F3917">
        <w:rPr>
          <w:noProof/>
        </w:rPr>
        <w:drawing>
          <wp:inline distT="0" distB="0" distL="0" distR="0">
            <wp:extent cx="5474525" cy="346759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070A" w:rsidRDefault="00F3070A" w:rsidP="0075349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1152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11525">
        <w:rPr>
          <w:rFonts w:ascii="Times New Roman" w:hAnsi="Times New Roman" w:cs="Times New Roman"/>
          <w:b/>
          <w:sz w:val="24"/>
          <w:szCs w:val="24"/>
        </w:rPr>
        <w:t>.</w:t>
      </w:r>
      <w:r w:rsidRPr="00611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51A67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251A67">
        <w:rPr>
          <w:rFonts w:ascii="Times New Roman" w:eastAsiaTheme="minorEastAsia" w:hAnsi="Times New Roman" w:cs="Times New Roman"/>
          <w:sz w:val="24"/>
          <w:szCs w:val="24"/>
        </w:rPr>
        <w:t xml:space="preserve">concentration of </w:t>
      </w:r>
      <w:r w:rsidR="001723BB">
        <w:rPr>
          <w:rFonts w:ascii="Times New Roman" w:eastAsiaTheme="minorEastAsia" w:hAnsi="Times New Roman" w:cs="Times New Roman"/>
          <w:sz w:val="24"/>
          <w:szCs w:val="24"/>
        </w:rPr>
        <w:t>sulfonamide antibiotic</w:t>
      </w:r>
      <w:r w:rsidR="00251A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6239">
        <w:rPr>
          <w:rFonts w:ascii="Times New Roman" w:eastAsiaTheme="minorEastAsia" w:hAnsi="Times New Roman" w:cs="Times New Roman"/>
          <w:sz w:val="24"/>
          <w:szCs w:val="24"/>
        </w:rPr>
        <w:t xml:space="preserve">in water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from laboratory </w:t>
      </w:r>
      <w:r w:rsidR="00C41EBC">
        <w:rPr>
          <w:rFonts w:ascii="Times New Roman" w:eastAsiaTheme="minorEastAsia" w:hAnsi="Times New Roman" w:cs="Times New Roman"/>
          <w:sz w:val="24"/>
          <w:szCs w:val="24"/>
        </w:rPr>
        <w:t xml:space="preserve">treatment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jar </w:t>
      </w:r>
      <w:r w:rsidR="00F76239">
        <w:rPr>
          <w:rFonts w:ascii="Times New Roman" w:eastAsiaTheme="minorEastAsia" w:hAnsi="Times New Roman" w:cs="Times New Roman"/>
          <w:sz w:val="24"/>
          <w:szCs w:val="24"/>
        </w:rPr>
        <w:t>s from da</w:t>
      </w:r>
      <w:r w:rsidR="00C41EBC">
        <w:rPr>
          <w:rFonts w:ascii="Times New Roman" w:eastAsiaTheme="minorEastAsia" w:hAnsi="Times New Roman" w:cs="Times New Roman"/>
          <w:sz w:val="24"/>
          <w:szCs w:val="24"/>
        </w:rPr>
        <w:t>y 0 to 14 (S0, S1, S4, S7, S14; n=3) and control (n=1</w:t>
      </w:r>
      <w:r w:rsidR="00251A67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5A21E8" w:rsidRPr="00611525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BA" w:rsidRDefault="008E37BA" w:rsidP="00753496">
      <w:pPr>
        <w:spacing w:after="0" w:line="360" w:lineRule="auto"/>
        <w:jc w:val="center"/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76239" w:rsidRDefault="00F76239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1B3329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B332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503334" cy="3657600"/>
            <wp:effectExtent l="0" t="0" r="0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21E8" w:rsidRDefault="005A21E8" w:rsidP="00753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4697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3070A">
        <w:rPr>
          <w:rFonts w:ascii="Times New Roman" w:hAnsi="Times New Roman" w:cs="Times New Roman"/>
          <w:b/>
          <w:sz w:val="24"/>
          <w:szCs w:val="24"/>
        </w:rPr>
        <w:t>4</w:t>
      </w:r>
      <w:r w:rsidRPr="003746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697">
        <w:rPr>
          <w:rFonts w:ascii="Times New Roman" w:hAnsi="Times New Roman" w:cs="Times New Roman"/>
          <w:sz w:val="24"/>
          <w:szCs w:val="24"/>
        </w:rPr>
        <w:t>Average temperature (</w:t>
      </w:r>
      <w:proofErr w:type="spellStart"/>
      <w:r w:rsidRPr="0037469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7469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74697">
        <w:rPr>
          <w:rFonts w:ascii="Times New Roman" w:hAnsi="Times New Roman" w:cs="Times New Roman"/>
          <w:sz w:val="24"/>
          <w:szCs w:val="24"/>
        </w:rPr>
        <w:t>) in each sample jar</w:t>
      </w:r>
      <w:r>
        <w:rPr>
          <w:rFonts w:ascii="Times New Roman" w:hAnsi="Times New Roman" w:cs="Times New Roman"/>
          <w:sz w:val="24"/>
          <w:szCs w:val="24"/>
        </w:rPr>
        <w:t xml:space="preserve"> (mean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SD)</w:t>
      </w:r>
      <w:r w:rsidR="00BE01A7">
        <w:rPr>
          <w:rFonts w:ascii="Times New Roman" w:hAnsi="Times New Roman" w:cs="Times New Roman"/>
          <w:sz w:val="24"/>
          <w:szCs w:val="24"/>
        </w:rPr>
        <w:t xml:space="preserve"> </w:t>
      </w:r>
      <w:r w:rsidR="000F1A62">
        <w:rPr>
          <w:rFonts w:ascii="Times New Roman" w:hAnsi="Times New Roman" w:cs="Times New Roman"/>
          <w:sz w:val="24"/>
          <w:szCs w:val="24"/>
        </w:rPr>
        <w:t xml:space="preserve">over </w:t>
      </w:r>
      <w:r w:rsidR="00BE01A7">
        <w:rPr>
          <w:rFonts w:ascii="Times New Roman" w:hAnsi="Times New Roman" w:cs="Times New Roman"/>
          <w:sz w:val="24"/>
          <w:szCs w:val="24"/>
        </w:rPr>
        <w:t>the 21 day study.</w:t>
      </w:r>
      <w:proofErr w:type="gramEnd"/>
      <w:r w:rsidRPr="00374697">
        <w:rPr>
          <w:rFonts w:ascii="Times New Roman" w:hAnsi="Times New Roman" w:cs="Times New Roman"/>
          <w:sz w:val="24"/>
          <w:szCs w:val="24"/>
        </w:rPr>
        <w:t xml:space="preserve"> </w:t>
      </w:r>
      <w:r w:rsidR="00BE01A7">
        <w:rPr>
          <w:rFonts w:ascii="Times New Roman" w:hAnsi="Times New Roman" w:cs="Times New Roman"/>
          <w:sz w:val="24"/>
          <w:szCs w:val="24"/>
        </w:rPr>
        <w:t xml:space="preserve">Days 0 to 14 represent the temperature in </w:t>
      </w:r>
      <w:proofErr w:type="spellStart"/>
      <w:r w:rsidR="00BE01A7">
        <w:rPr>
          <w:rFonts w:ascii="Times New Roman" w:hAnsi="Times New Roman" w:cs="Times New Roman"/>
          <w:sz w:val="24"/>
          <w:szCs w:val="24"/>
        </w:rPr>
        <w:t>sulfamethoxazole</w:t>
      </w:r>
      <w:proofErr w:type="spellEnd"/>
      <w:r w:rsidR="00BE01A7">
        <w:rPr>
          <w:rFonts w:ascii="Times New Roman" w:hAnsi="Times New Roman" w:cs="Times New Roman"/>
          <w:sz w:val="24"/>
          <w:szCs w:val="24"/>
        </w:rPr>
        <w:t xml:space="preserve"> treatment jars (</w:t>
      </w:r>
      <w:r w:rsidR="00BE01A7">
        <w:rPr>
          <w:rFonts w:ascii="Times New Roman" w:eastAsiaTheme="minorEastAsia" w:hAnsi="Times New Roman" w:cs="Times New Roman"/>
          <w:sz w:val="24"/>
          <w:szCs w:val="24"/>
        </w:rPr>
        <w:t>S)</w:t>
      </w:r>
      <w:r w:rsidR="00BE01A7">
        <w:rPr>
          <w:rFonts w:ascii="Times New Roman" w:hAnsi="Times New Roman" w:cs="Times New Roman"/>
          <w:sz w:val="24"/>
          <w:szCs w:val="24"/>
        </w:rPr>
        <w:t xml:space="preserve">, days 16 to 21 represent the temperature in depuration jars (D), plus control. </w:t>
      </w: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3070A" w:rsidRDefault="00F3070A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3070A" w:rsidRDefault="00F3070A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3070A" w:rsidRDefault="00F3070A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75349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1B3329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B332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303520" cy="3657600"/>
            <wp:effectExtent l="0" t="0" r="0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21E8" w:rsidRDefault="005A21E8" w:rsidP="007534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3070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697">
        <w:rPr>
          <w:rFonts w:ascii="Times New Roman" w:hAnsi="Times New Roman" w:cs="Times New Roman"/>
          <w:sz w:val="24"/>
          <w:szCs w:val="24"/>
        </w:rPr>
        <w:t>Average dissolved</w:t>
      </w:r>
      <w:r>
        <w:rPr>
          <w:rFonts w:ascii="Times New Roman" w:hAnsi="Times New Roman" w:cs="Times New Roman"/>
          <w:sz w:val="24"/>
          <w:szCs w:val="24"/>
        </w:rPr>
        <w:t xml:space="preserve"> oxygen</w:t>
      </w:r>
      <w:r w:rsidRPr="00374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(mg/L) </w:t>
      </w:r>
      <w:r w:rsidRPr="00374697">
        <w:rPr>
          <w:rFonts w:ascii="Times New Roman" w:hAnsi="Times New Roman" w:cs="Times New Roman"/>
          <w:sz w:val="24"/>
          <w:szCs w:val="24"/>
        </w:rPr>
        <w:t>in each sample jar</w:t>
      </w:r>
      <w:r>
        <w:rPr>
          <w:rFonts w:ascii="Times New Roman" w:hAnsi="Times New Roman" w:cs="Times New Roman"/>
          <w:sz w:val="24"/>
          <w:szCs w:val="24"/>
        </w:rPr>
        <w:t xml:space="preserve"> (mean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SD)</w:t>
      </w:r>
      <w:r w:rsidR="00BE01A7" w:rsidRPr="00BE01A7">
        <w:rPr>
          <w:rFonts w:ascii="Times New Roman" w:hAnsi="Times New Roman" w:cs="Times New Roman"/>
          <w:sz w:val="24"/>
          <w:szCs w:val="24"/>
        </w:rPr>
        <w:t xml:space="preserve"> </w:t>
      </w:r>
      <w:r w:rsidR="000F1A62">
        <w:rPr>
          <w:rFonts w:ascii="Times New Roman" w:hAnsi="Times New Roman" w:cs="Times New Roman"/>
          <w:sz w:val="24"/>
          <w:szCs w:val="24"/>
        </w:rPr>
        <w:t>over</w:t>
      </w:r>
      <w:r w:rsidR="00BE01A7">
        <w:rPr>
          <w:rFonts w:ascii="Times New Roman" w:hAnsi="Times New Roman" w:cs="Times New Roman"/>
          <w:sz w:val="24"/>
          <w:szCs w:val="24"/>
        </w:rPr>
        <w:t xml:space="preserve"> the 21 day study.</w:t>
      </w:r>
      <w:r w:rsidR="00BE01A7" w:rsidRPr="00374697">
        <w:rPr>
          <w:rFonts w:ascii="Times New Roman" w:hAnsi="Times New Roman" w:cs="Times New Roman"/>
          <w:sz w:val="24"/>
          <w:szCs w:val="24"/>
        </w:rPr>
        <w:t xml:space="preserve"> </w:t>
      </w:r>
      <w:r w:rsidR="00BE01A7">
        <w:rPr>
          <w:rFonts w:ascii="Times New Roman" w:hAnsi="Times New Roman" w:cs="Times New Roman"/>
          <w:sz w:val="24"/>
          <w:szCs w:val="24"/>
        </w:rPr>
        <w:t xml:space="preserve">Days 0 to 14 represent the dissolved oxygen in </w:t>
      </w:r>
      <w:proofErr w:type="spellStart"/>
      <w:r w:rsidR="00BE01A7">
        <w:rPr>
          <w:rFonts w:ascii="Times New Roman" w:hAnsi="Times New Roman" w:cs="Times New Roman"/>
          <w:sz w:val="24"/>
          <w:szCs w:val="24"/>
        </w:rPr>
        <w:t>sulfamethoxazole</w:t>
      </w:r>
      <w:proofErr w:type="spellEnd"/>
      <w:r w:rsidR="00BE01A7">
        <w:rPr>
          <w:rFonts w:ascii="Times New Roman" w:hAnsi="Times New Roman" w:cs="Times New Roman"/>
          <w:sz w:val="24"/>
          <w:szCs w:val="24"/>
        </w:rPr>
        <w:t xml:space="preserve"> treatment jars (</w:t>
      </w:r>
      <w:r w:rsidR="00BE01A7">
        <w:rPr>
          <w:rFonts w:ascii="Times New Roman" w:eastAsiaTheme="minorEastAsia" w:hAnsi="Times New Roman" w:cs="Times New Roman"/>
          <w:sz w:val="24"/>
          <w:szCs w:val="24"/>
        </w:rPr>
        <w:t>S)</w:t>
      </w:r>
      <w:r w:rsidR="00BE01A7">
        <w:rPr>
          <w:rFonts w:ascii="Times New Roman" w:hAnsi="Times New Roman" w:cs="Times New Roman"/>
          <w:sz w:val="24"/>
          <w:szCs w:val="24"/>
        </w:rPr>
        <w:t>, days 16 to 21 represent the dissolved oxygen in depuration jars (D), plus control.</w:t>
      </w: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1B3329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B332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303520" cy="3657600"/>
            <wp:effectExtent l="0" t="0" r="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21E8" w:rsidRDefault="005A21E8" w:rsidP="00753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3070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Average conductivity (µS)</w:t>
      </w:r>
      <w:r w:rsidRPr="00374697">
        <w:rPr>
          <w:rFonts w:ascii="Times New Roman" w:hAnsi="Times New Roman" w:cs="Times New Roman"/>
          <w:sz w:val="24"/>
          <w:szCs w:val="24"/>
        </w:rPr>
        <w:t xml:space="preserve"> in each sample jar</w:t>
      </w:r>
      <w:r>
        <w:rPr>
          <w:rFonts w:ascii="Times New Roman" w:hAnsi="Times New Roman" w:cs="Times New Roman"/>
          <w:sz w:val="24"/>
          <w:szCs w:val="24"/>
        </w:rPr>
        <w:t xml:space="preserve"> (mean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SD</w:t>
      </w:r>
      <w:r w:rsidR="00BE01A7">
        <w:rPr>
          <w:rFonts w:ascii="Times New Roman" w:hAnsi="Times New Roman" w:cs="Times New Roman"/>
          <w:sz w:val="24"/>
          <w:szCs w:val="24"/>
        </w:rPr>
        <w:t>)</w:t>
      </w:r>
      <w:r w:rsidR="00BE01A7" w:rsidRPr="00BE01A7">
        <w:rPr>
          <w:rFonts w:ascii="Times New Roman" w:hAnsi="Times New Roman" w:cs="Times New Roman"/>
          <w:sz w:val="24"/>
          <w:szCs w:val="24"/>
        </w:rPr>
        <w:t xml:space="preserve"> </w:t>
      </w:r>
      <w:r w:rsidR="000F1A62">
        <w:rPr>
          <w:rFonts w:ascii="Times New Roman" w:hAnsi="Times New Roman" w:cs="Times New Roman"/>
          <w:sz w:val="24"/>
          <w:szCs w:val="24"/>
        </w:rPr>
        <w:t>over</w:t>
      </w:r>
      <w:r w:rsidR="00BE01A7">
        <w:rPr>
          <w:rFonts w:ascii="Times New Roman" w:hAnsi="Times New Roman" w:cs="Times New Roman"/>
          <w:sz w:val="24"/>
          <w:szCs w:val="24"/>
        </w:rPr>
        <w:t xml:space="preserve"> the 21 day study.</w:t>
      </w:r>
      <w:proofErr w:type="gramEnd"/>
      <w:r w:rsidR="00BE01A7" w:rsidRPr="00374697">
        <w:rPr>
          <w:rFonts w:ascii="Times New Roman" w:hAnsi="Times New Roman" w:cs="Times New Roman"/>
          <w:sz w:val="24"/>
          <w:szCs w:val="24"/>
        </w:rPr>
        <w:t xml:space="preserve"> </w:t>
      </w:r>
      <w:r w:rsidR="00BE01A7">
        <w:rPr>
          <w:rFonts w:ascii="Times New Roman" w:hAnsi="Times New Roman" w:cs="Times New Roman"/>
          <w:sz w:val="24"/>
          <w:szCs w:val="24"/>
        </w:rPr>
        <w:t xml:space="preserve">Days 0 to 14 represent the conductivity in </w:t>
      </w:r>
      <w:proofErr w:type="spellStart"/>
      <w:r w:rsidR="00BE01A7">
        <w:rPr>
          <w:rFonts w:ascii="Times New Roman" w:hAnsi="Times New Roman" w:cs="Times New Roman"/>
          <w:sz w:val="24"/>
          <w:szCs w:val="24"/>
        </w:rPr>
        <w:t>sulfamethoxazole</w:t>
      </w:r>
      <w:proofErr w:type="spellEnd"/>
      <w:r w:rsidR="00BE01A7">
        <w:rPr>
          <w:rFonts w:ascii="Times New Roman" w:hAnsi="Times New Roman" w:cs="Times New Roman"/>
          <w:sz w:val="24"/>
          <w:szCs w:val="24"/>
        </w:rPr>
        <w:t xml:space="preserve"> treatment jars (</w:t>
      </w:r>
      <w:r w:rsidR="00BE01A7">
        <w:rPr>
          <w:rFonts w:ascii="Times New Roman" w:eastAsiaTheme="minorEastAsia" w:hAnsi="Times New Roman" w:cs="Times New Roman"/>
          <w:sz w:val="24"/>
          <w:szCs w:val="24"/>
        </w:rPr>
        <w:t>S)</w:t>
      </w:r>
      <w:r w:rsidR="00BE01A7">
        <w:rPr>
          <w:rFonts w:ascii="Times New Roman" w:hAnsi="Times New Roman" w:cs="Times New Roman"/>
          <w:sz w:val="24"/>
          <w:szCs w:val="24"/>
        </w:rPr>
        <w:t>, days 16 to 21 represent the conductivity in depuration jars (D), plus control.</w:t>
      </w: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53496" w:rsidRDefault="001B3329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2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03520" cy="365760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21E8" w:rsidRDefault="005A21E8" w:rsidP="00753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3070A">
        <w:rPr>
          <w:rFonts w:ascii="Times New Roman" w:hAnsi="Times New Roman" w:cs="Times New Roman"/>
          <w:b/>
          <w:sz w:val="24"/>
          <w:szCs w:val="24"/>
        </w:rPr>
        <w:t>7</w:t>
      </w:r>
      <w:r w:rsidRPr="003746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697">
        <w:rPr>
          <w:rFonts w:ascii="Times New Roman" w:hAnsi="Times New Roman" w:cs="Times New Roman"/>
          <w:sz w:val="24"/>
          <w:szCs w:val="24"/>
        </w:rPr>
        <w:t xml:space="preserve">Average 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374697">
        <w:rPr>
          <w:rFonts w:ascii="Times New Roman" w:hAnsi="Times New Roman" w:cs="Times New Roman"/>
          <w:sz w:val="24"/>
          <w:szCs w:val="24"/>
        </w:rPr>
        <w:t xml:space="preserve"> in each sample jar</w:t>
      </w:r>
      <w:r>
        <w:rPr>
          <w:rFonts w:ascii="Times New Roman" w:hAnsi="Times New Roman" w:cs="Times New Roman"/>
          <w:sz w:val="24"/>
          <w:szCs w:val="24"/>
        </w:rPr>
        <w:t xml:space="preserve"> (mean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SD)</w:t>
      </w:r>
      <w:r w:rsidR="00BE01A7" w:rsidRPr="00BE01A7">
        <w:rPr>
          <w:rFonts w:ascii="Times New Roman" w:hAnsi="Times New Roman" w:cs="Times New Roman"/>
          <w:sz w:val="24"/>
          <w:szCs w:val="24"/>
        </w:rPr>
        <w:t xml:space="preserve"> </w:t>
      </w:r>
      <w:r w:rsidR="000F1A62">
        <w:rPr>
          <w:rFonts w:ascii="Times New Roman" w:hAnsi="Times New Roman" w:cs="Times New Roman"/>
          <w:sz w:val="24"/>
          <w:szCs w:val="24"/>
        </w:rPr>
        <w:t>over</w:t>
      </w:r>
      <w:r w:rsidR="00BE01A7">
        <w:rPr>
          <w:rFonts w:ascii="Times New Roman" w:hAnsi="Times New Roman" w:cs="Times New Roman"/>
          <w:sz w:val="24"/>
          <w:szCs w:val="24"/>
        </w:rPr>
        <w:t xml:space="preserve"> the 21 day study.</w:t>
      </w:r>
      <w:proofErr w:type="gramEnd"/>
      <w:r w:rsidR="00BE01A7" w:rsidRPr="00374697">
        <w:rPr>
          <w:rFonts w:ascii="Times New Roman" w:hAnsi="Times New Roman" w:cs="Times New Roman"/>
          <w:sz w:val="24"/>
          <w:szCs w:val="24"/>
        </w:rPr>
        <w:t xml:space="preserve"> </w:t>
      </w:r>
      <w:r w:rsidR="00BE01A7">
        <w:rPr>
          <w:rFonts w:ascii="Times New Roman" w:hAnsi="Times New Roman" w:cs="Times New Roman"/>
          <w:sz w:val="24"/>
          <w:szCs w:val="24"/>
        </w:rPr>
        <w:t xml:space="preserve">Days 0 to 14 represent the pH in </w:t>
      </w:r>
      <w:proofErr w:type="spellStart"/>
      <w:r w:rsidR="00BE01A7">
        <w:rPr>
          <w:rFonts w:ascii="Times New Roman" w:hAnsi="Times New Roman" w:cs="Times New Roman"/>
          <w:sz w:val="24"/>
          <w:szCs w:val="24"/>
        </w:rPr>
        <w:t>sulfamethoxazole</w:t>
      </w:r>
      <w:proofErr w:type="spellEnd"/>
      <w:r w:rsidR="00BE01A7">
        <w:rPr>
          <w:rFonts w:ascii="Times New Roman" w:hAnsi="Times New Roman" w:cs="Times New Roman"/>
          <w:sz w:val="24"/>
          <w:szCs w:val="24"/>
        </w:rPr>
        <w:t xml:space="preserve"> treatment jars (</w:t>
      </w:r>
      <w:r w:rsidR="00BE01A7">
        <w:rPr>
          <w:rFonts w:ascii="Times New Roman" w:eastAsiaTheme="minorEastAsia" w:hAnsi="Times New Roman" w:cs="Times New Roman"/>
          <w:sz w:val="24"/>
          <w:szCs w:val="24"/>
        </w:rPr>
        <w:t>S)</w:t>
      </w:r>
      <w:r w:rsidR="00BE01A7">
        <w:rPr>
          <w:rFonts w:ascii="Times New Roman" w:hAnsi="Times New Roman" w:cs="Times New Roman"/>
          <w:sz w:val="24"/>
          <w:szCs w:val="24"/>
        </w:rPr>
        <w:t>, days 16 to 21 represent the pH  in depuration jars (D), plus control.</w:t>
      </w: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63576" w:rsidRDefault="00C6357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63576" w:rsidRDefault="00C6357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63576" w:rsidRDefault="00C6357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63576" w:rsidRDefault="00C6357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63576" w:rsidRDefault="00C6357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63576" w:rsidRDefault="00C6357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63576" w:rsidRDefault="00C6357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A21E8" w:rsidRDefault="005A21E8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63576" w:rsidRDefault="00C63576" w:rsidP="0075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25pt;margin-top:48.5pt;width:398.25pt;height:174.85pt;z-index:25166131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" stroked="f">
            <v:textbox>
              <w:txbxContent>
                <w:p w:rsidR="00C63576" w:rsidRPr="00097705" w:rsidRDefault="00C63576" w:rsidP="00C6357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CA"/>
                    </w:rPr>
                    <w:t>Table 1</w:t>
                  </w:r>
                  <w:r w:rsidRPr="00C87A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CA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>Agarose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 xml:space="preserve"> recipe used for exposure in lab toxicity studies.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85"/>
                    <w:gridCol w:w="3432"/>
                    <w:gridCol w:w="3401"/>
                  </w:tblGrid>
                  <w:tr w:rsidR="00C63576" w:rsidTr="00937D62">
                    <w:trPr>
                      <w:trHeight w:val="298"/>
                    </w:trPr>
                    <w:tc>
                      <w:tcPr>
                        <w:tcW w:w="4417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:rsidR="00C63576" w:rsidRPr="00C53D6D" w:rsidRDefault="00C63576" w:rsidP="00937D62">
                        <w:pPr>
                          <w:spacing w:line="480" w:lineRule="auto"/>
                          <w:ind w:left="96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CA"/>
                          </w:rPr>
                        </w:pPr>
                        <w:r w:rsidRPr="00C53D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CA"/>
                          </w:rPr>
                          <w:t>Substance</w:t>
                        </w:r>
                      </w:p>
                    </w:tc>
                    <w:tc>
                      <w:tcPr>
                        <w:tcW w:w="3401" w:type="dxa"/>
                        <w:tcBorders>
                          <w:left w:val="nil"/>
                        </w:tcBorders>
                        <w:vAlign w:val="center"/>
                      </w:tcPr>
                      <w:p w:rsidR="00C63576" w:rsidRPr="00C53D6D" w:rsidRDefault="00C63576" w:rsidP="00937D62">
                        <w:pPr>
                          <w:spacing w:line="480" w:lineRule="auto"/>
                          <w:ind w:left="13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CA"/>
                          </w:rPr>
                        </w:pPr>
                        <w:r w:rsidRPr="00C53D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CA"/>
                          </w:rPr>
                          <w:t>Amount</w:t>
                        </w:r>
                      </w:p>
                    </w:tc>
                  </w:tr>
                  <w:tr w:rsidR="00C63576" w:rsidTr="00AF13E7">
                    <w:trPr>
                      <w:cantSplit/>
                      <w:trHeight w:val="1412"/>
                    </w:trPr>
                    <w:tc>
                      <w:tcPr>
                        <w:tcW w:w="985" w:type="dxa"/>
                        <w:textDirection w:val="btLr"/>
                      </w:tcPr>
                      <w:p w:rsidR="00C63576" w:rsidRPr="00C87A74" w:rsidRDefault="00C63576" w:rsidP="00C53D6D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Control Jars</w:t>
                        </w:r>
                      </w:p>
                    </w:tc>
                    <w:tc>
                      <w:tcPr>
                        <w:tcW w:w="3432" w:type="dxa"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C63576" w:rsidRPr="00C87A74" w:rsidRDefault="00C63576" w:rsidP="00C53D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</w:t>
                        </w:r>
                        <w:proofErr w:type="spellStart"/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NaCl</w:t>
                        </w:r>
                        <w:proofErr w:type="spellEnd"/>
                      </w:p>
                      <w:p w:rsidR="00C63576" w:rsidRPr="00C87A74" w:rsidRDefault="00C63576" w:rsidP="00C53D6D">
                        <w:pPr>
                          <w:ind w:left="10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Tryptone</w:t>
                        </w:r>
                        <w:proofErr w:type="spellEnd"/>
                      </w:p>
                      <w:p w:rsidR="00C63576" w:rsidRPr="00C87A74" w:rsidRDefault="00C63576" w:rsidP="00C53D6D">
                        <w:pPr>
                          <w:ind w:left="10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Yeast Extract</w:t>
                        </w:r>
                      </w:p>
                      <w:p w:rsidR="00C63576" w:rsidRPr="00C87A74" w:rsidRDefault="00C63576" w:rsidP="00C53D6D">
                        <w:pPr>
                          <w:ind w:left="10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Agarose</w:t>
                        </w:r>
                        <w:proofErr w:type="spellEnd"/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63576" w:rsidRPr="00C87A74" w:rsidRDefault="00C63576" w:rsidP="00C53D6D">
                        <w:pPr>
                          <w:ind w:left="10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3401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C63576" w:rsidRPr="00C87A74" w:rsidRDefault="00C63576" w:rsidP="00C53D6D">
                        <w:pPr>
                          <w:pStyle w:val="ListParagraph"/>
                          <w:ind w:left="14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0.48 g </w:t>
                        </w:r>
                      </w:p>
                      <w:p w:rsidR="00C63576" w:rsidRPr="00C87A74" w:rsidRDefault="00C63576" w:rsidP="00C53D6D">
                        <w:pPr>
                          <w:pStyle w:val="ListParagraph"/>
                          <w:ind w:left="14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0.48 g </w:t>
                        </w:r>
                      </w:p>
                      <w:p w:rsidR="00C63576" w:rsidRPr="00C87A74" w:rsidRDefault="00C63576" w:rsidP="00C53D6D">
                        <w:pPr>
                          <w:pStyle w:val="ListParagraph"/>
                          <w:ind w:left="14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0.24 g </w:t>
                        </w:r>
                      </w:p>
                      <w:p w:rsidR="00C63576" w:rsidRPr="00C87A74" w:rsidRDefault="00C63576" w:rsidP="00C53D6D">
                        <w:pPr>
                          <w:pStyle w:val="ListParagraph"/>
                          <w:ind w:left="14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0.72 g </w:t>
                        </w:r>
                      </w:p>
                      <w:p w:rsidR="00C63576" w:rsidRPr="00C87A74" w:rsidRDefault="00C63576" w:rsidP="00C53D6D">
                        <w:pPr>
                          <w:pStyle w:val="ListParagraph"/>
                          <w:ind w:left="14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48 ml</w:t>
                        </w:r>
                      </w:p>
                    </w:tc>
                  </w:tr>
                  <w:tr w:rsidR="00C63576" w:rsidTr="00AF13E7">
                    <w:trPr>
                      <w:cantSplit/>
                      <w:trHeight w:val="800"/>
                    </w:trPr>
                    <w:tc>
                      <w:tcPr>
                        <w:tcW w:w="985" w:type="dxa"/>
                        <w:textDirection w:val="btLr"/>
                      </w:tcPr>
                      <w:p w:rsidR="00C63576" w:rsidRPr="00C87A74" w:rsidRDefault="00C63576" w:rsidP="00937D6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SMX Jars</w:t>
                        </w:r>
                      </w:p>
                    </w:tc>
                    <w:tc>
                      <w:tcPr>
                        <w:tcW w:w="3432" w:type="dxa"/>
                        <w:tcBorders>
                          <w:right w:val="nil"/>
                        </w:tcBorders>
                        <w:vAlign w:val="center"/>
                      </w:tcPr>
                      <w:p w:rsidR="00C63576" w:rsidRPr="00C87A74" w:rsidRDefault="00C63576" w:rsidP="00C53D6D">
                        <w:pPr>
                          <w:ind w:left="106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SMX</w:t>
                        </w:r>
                      </w:p>
                    </w:tc>
                    <w:tc>
                      <w:tcPr>
                        <w:tcW w:w="3401" w:type="dxa"/>
                        <w:tcBorders>
                          <w:left w:val="nil"/>
                        </w:tcBorders>
                        <w:vAlign w:val="center"/>
                      </w:tcPr>
                      <w:p w:rsidR="00C63576" w:rsidRPr="00C87A74" w:rsidRDefault="00C63576" w:rsidP="00C53D6D">
                        <w:pPr>
                          <w:pStyle w:val="ListParagraph"/>
                          <w:ind w:left="14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7A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6.4 mg</w:t>
                        </w:r>
                      </w:p>
                    </w:tc>
                  </w:tr>
                </w:tbl>
                <w:p w:rsidR="00C63576" w:rsidRDefault="00C63576" w:rsidP="00C63576"/>
              </w:txbxContent>
            </v:textbox>
            <w10:wrap type="topAndBottom" anchorx="margin"/>
          </v:shape>
        </w:pict>
      </w:r>
    </w:p>
    <w:sectPr w:rsidR="00C63576" w:rsidSect="000D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08C7"/>
    <w:rsid w:val="00043F94"/>
    <w:rsid w:val="000D707F"/>
    <w:rsid w:val="000F1A62"/>
    <w:rsid w:val="001723BB"/>
    <w:rsid w:val="001B3329"/>
    <w:rsid w:val="001C5F12"/>
    <w:rsid w:val="00251A67"/>
    <w:rsid w:val="002573FE"/>
    <w:rsid w:val="002F3917"/>
    <w:rsid w:val="00411808"/>
    <w:rsid w:val="00412C15"/>
    <w:rsid w:val="00464B2C"/>
    <w:rsid w:val="004F442C"/>
    <w:rsid w:val="004F7CC5"/>
    <w:rsid w:val="005A21E8"/>
    <w:rsid w:val="00662353"/>
    <w:rsid w:val="00753496"/>
    <w:rsid w:val="007808C7"/>
    <w:rsid w:val="008E37BA"/>
    <w:rsid w:val="00900236"/>
    <w:rsid w:val="009055DC"/>
    <w:rsid w:val="009466D6"/>
    <w:rsid w:val="009931E4"/>
    <w:rsid w:val="009B60C1"/>
    <w:rsid w:val="00B152D1"/>
    <w:rsid w:val="00BB4FE0"/>
    <w:rsid w:val="00BB53A4"/>
    <w:rsid w:val="00BE01A7"/>
    <w:rsid w:val="00C41EBC"/>
    <w:rsid w:val="00C63576"/>
    <w:rsid w:val="00D67A37"/>
    <w:rsid w:val="00DC71A6"/>
    <w:rsid w:val="00F3070A"/>
    <w:rsid w:val="00F7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A3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D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jpe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nail%20water%20results\snail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nail%20water%20results\SMXdata-ARG_Snail_Ex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nail%20water%20results\snail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nail%20water%20results\snail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nail%20water%20results\snail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nail%20water%20results\snail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5181957458937592"/>
          <c:y val="5.4522924411400511E-2"/>
          <c:w val="0.79258195824781996"/>
          <c:h val="0.7806926652825111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'Lab Samples Water'!$U$2:$U$8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9.5034366929395188E-3</c:v>
                  </c:pt>
                  <c:pt idx="2">
                    <c:v>9.9626068385541052E-3</c:v>
                  </c:pt>
                  <c:pt idx="3">
                    <c:v>4.5840811373031105</c:v>
                  </c:pt>
                  <c:pt idx="4">
                    <c:v>2.8589815447669591</c:v>
                  </c:pt>
                  <c:pt idx="5">
                    <c:v>0.8378390671523176</c:v>
                  </c:pt>
                  <c:pt idx="6">
                    <c:v>3.9153056509773232</c:v>
                  </c:pt>
                </c:numCache>
              </c:numRef>
            </c:plus>
            <c:minus>
              <c:numRef>
                <c:f>'Lab Samples Water'!$U$2:$U$8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9.5034366929395188E-3</c:v>
                  </c:pt>
                  <c:pt idx="2">
                    <c:v>9.9626068385541052E-3</c:v>
                  </c:pt>
                  <c:pt idx="3">
                    <c:v>4.5840811373031105</c:v>
                  </c:pt>
                  <c:pt idx="4">
                    <c:v>2.8589815447669591</c:v>
                  </c:pt>
                  <c:pt idx="5">
                    <c:v>0.8378390671523176</c:v>
                  </c:pt>
                  <c:pt idx="6">
                    <c:v>3.9153056509773232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'Lab Samples Water'!$R$2:$R$8</c:f>
              <c:strCache>
                <c:ptCount val="7"/>
                <c:pt idx="0">
                  <c:v>S0</c:v>
                </c:pt>
                <c:pt idx="1">
                  <c:v>C4</c:v>
                </c:pt>
                <c:pt idx="2">
                  <c:v>S4</c:v>
                </c:pt>
                <c:pt idx="3">
                  <c:v>S7</c:v>
                </c:pt>
                <c:pt idx="4">
                  <c:v>S14</c:v>
                </c:pt>
                <c:pt idx="5">
                  <c:v>S7D</c:v>
                </c:pt>
                <c:pt idx="6">
                  <c:v>S7F</c:v>
                </c:pt>
              </c:strCache>
            </c:strRef>
          </c:cat>
          <c:val>
            <c:numRef>
              <c:f>'Lab Samples Water'!$S$2:$S$8</c:f>
              <c:numCache>
                <c:formatCode>General</c:formatCode>
                <c:ptCount val="7"/>
                <c:pt idx="0">
                  <c:v>3.6665368207044892E-2</c:v>
                </c:pt>
                <c:pt idx="1">
                  <c:v>1.6534332706855441E-2</c:v>
                </c:pt>
                <c:pt idx="2">
                  <c:v>6.0185990808332042E-2</c:v>
                </c:pt>
                <c:pt idx="3">
                  <c:v>4.8715132690474672</c:v>
                </c:pt>
                <c:pt idx="4">
                  <c:v>6.6309555366599584</c:v>
                </c:pt>
                <c:pt idx="5">
                  <c:v>1.4087047116495228</c:v>
                </c:pt>
                <c:pt idx="6">
                  <c:v>3.9153056509773196</c:v>
                </c:pt>
              </c:numCache>
            </c:numRef>
          </c:val>
        </c:ser>
        <c:gapWidth val="219"/>
        <c:overlap val="-27"/>
        <c:axId val="59832192"/>
        <c:axId val="60879232"/>
      </c:barChart>
      <c:catAx>
        <c:axId val="59832192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Sample day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60879232"/>
        <c:crosses val="autoZero"/>
        <c:auto val="1"/>
        <c:lblAlgn val="ctr"/>
        <c:lblOffset val="100"/>
      </c:catAx>
      <c:valAx>
        <c:axId val="60879232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 algn="ctr" rtl="0">
                  <a:defRPr/>
                </a:pPr>
                <a:r>
                  <a:rPr lang="en-US"/>
                  <a:t>Abundance of ARGs relative to abundance of 16S rRNA (%)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5983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0.11416029098206452"/>
          <c:y val="4.5909873329701319E-2"/>
          <c:w val="0.77981613141201944"/>
          <c:h val="0.75807199144459492"/>
        </c:manualLayout>
      </c:layout>
      <c:scatterChart>
        <c:scatterStyle val="smoothMarker"/>
        <c:ser>
          <c:idx val="0"/>
          <c:order val="0"/>
          <c:tx>
            <c:v>Treatment</c:v>
          </c:tx>
          <c:spPr>
            <a:ln w="19050" cap="rnd">
              <a:noFill/>
              <a:round/>
            </a:ln>
            <a:effectLst/>
          </c:spPr>
          <c:marker>
            <c:symbol val="plus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plus>
              <c:numRef>
                <c:f>Water!$H$2:$H$6</c:f>
                <c:numCache>
                  <c:formatCode>General</c:formatCode>
                  <c:ptCount val="5"/>
                  <c:pt idx="0">
                    <c:v>0.37186944270076122</c:v>
                  </c:pt>
                  <c:pt idx="1">
                    <c:v>0.72786750840513903</c:v>
                  </c:pt>
                  <c:pt idx="2">
                    <c:v>0.14229246957548325</c:v>
                  </c:pt>
                  <c:pt idx="3">
                    <c:v>0.33902536724992466</c:v>
                  </c:pt>
                  <c:pt idx="4">
                    <c:v>0.65823469888992203</c:v>
                  </c:pt>
                </c:numCache>
              </c:numRef>
            </c:plus>
            <c:minus>
              <c:numRef>
                <c:f>Water!$H$2:$H$6</c:f>
                <c:numCache>
                  <c:formatCode>General</c:formatCode>
                  <c:ptCount val="5"/>
                  <c:pt idx="0">
                    <c:v>0.37186944270076122</c:v>
                  </c:pt>
                  <c:pt idx="1">
                    <c:v>0.72786750840513903</c:v>
                  </c:pt>
                  <c:pt idx="2">
                    <c:v>0.14229246957548325</c:v>
                  </c:pt>
                  <c:pt idx="3">
                    <c:v>0.33902536724992466</c:v>
                  </c:pt>
                  <c:pt idx="4">
                    <c:v>0.65823469888992203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Water!$F$2:$F$6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  <c:pt idx="4">
                  <c:v>14</c:v>
                </c:pt>
              </c:numCache>
            </c:numRef>
          </c:xVal>
          <c:yVal>
            <c:numRef>
              <c:f>Water!$G$2:$G$6</c:f>
              <c:numCache>
                <c:formatCode>General</c:formatCode>
                <c:ptCount val="5"/>
                <c:pt idx="0">
                  <c:v>4.4840573053625024</c:v>
                </c:pt>
                <c:pt idx="1">
                  <c:v>5.7244589003075861</c:v>
                </c:pt>
                <c:pt idx="2">
                  <c:v>3.4385822906666701</c:v>
                </c:pt>
                <c:pt idx="3">
                  <c:v>3.11111085164326</c:v>
                </c:pt>
                <c:pt idx="4">
                  <c:v>2.9222269610165097</c:v>
                </c:pt>
              </c:numCache>
            </c:numRef>
          </c:yVal>
          <c:smooth val="1"/>
        </c:ser>
        <c:ser>
          <c:idx val="1"/>
          <c:order val="1"/>
          <c:tx>
            <c:v>control</c:v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xVal>
            <c:numRef>
              <c:f>Water!$F$2:$F$6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  <c:pt idx="4">
                  <c:v>14</c:v>
                </c:pt>
              </c:numCache>
            </c:numRef>
          </c:xVal>
          <c:yVal>
            <c:numRef>
              <c:f>Water!$I$2:$I$6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0.4100000000000002</c:v>
                </c:pt>
                <c:pt idx="4">
                  <c:v>0.32000000000000023</c:v>
                </c:pt>
              </c:numCache>
            </c:numRef>
          </c:yVal>
          <c:smooth val="1"/>
        </c:ser>
        <c:axId val="60183296"/>
        <c:axId val="60185600"/>
      </c:scatterChart>
      <c:valAx>
        <c:axId val="60183296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CA"/>
                  <a:t>Time (days)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60185600"/>
        <c:crosses val="autoZero"/>
        <c:crossBetween val="midCat"/>
        <c:majorUnit val="2"/>
      </c:valAx>
      <c:valAx>
        <c:axId val="60185600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/>
                  <a:t>Water concentration (mg/L)</a:t>
                </a:r>
              </a:p>
            </c:rich>
          </c:tx>
          <c:layout>
            <c:manualLayout>
              <c:xMode val="edge"/>
              <c:yMode val="edge"/>
              <c:x val="1.5049435024064283E-2"/>
              <c:y val="0.1292986700976049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601832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135276439874327"/>
          <c:y val="0.62553863203527771"/>
          <c:w val="0.16873522943082522"/>
          <c:h val="0.15105134330118858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337724550898214"/>
          <c:y val="4.0847847210291895E-2"/>
          <c:w val="0.85825130840680863"/>
          <c:h val="0.79405798774663916"/>
        </c:manualLayout>
      </c:layout>
      <c:lineChart>
        <c:grouping val="standard"/>
        <c:ser>
          <c:idx val="0"/>
          <c:order val="0"/>
          <c:tx>
            <c:v>Control</c:v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plus>
              <c:numRef>
                <c:f>Sheet2!$B$3:$K$3</c:f>
                <c:numCache>
                  <c:formatCode>General</c:formatCode>
                  <c:ptCount val="10"/>
                  <c:pt idx="0">
                    <c:v>0</c:v>
                  </c:pt>
                  <c:pt idx="1">
                    <c:v>0</c:v>
                  </c:pt>
                  <c:pt idx="2">
                    <c:v>1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1</c:v>
                  </c:pt>
                </c:numCache>
              </c:numRef>
            </c:plus>
            <c:minus>
              <c:numRef>
                <c:f>Sheet2!$B$3:$K$3</c:f>
                <c:numCache>
                  <c:formatCode>General</c:formatCode>
                  <c:ptCount val="10"/>
                  <c:pt idx="0">
                    <c:v>0</c:v>
                  </c:pt>
                  <c:pt idx="1">
                    <c:v>0</c:v>
                  </c:pt>
                  <c:pt idx="2">
                    <c:v>1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Sheet2!$B$1:$K$1</c:f>
              <c:numCache>
                <c:formatCode>0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21</c:v>
                </c:pt>
              </c:numCache>
            </c:numRef>
          </c:cat>
          <c:val>
            <c:numRef>
              <c:f>Sheet2!$B$2:$K$2</c:f>
              <c:numCache>
                <c:formatCode>0</c:formatCode>
                <c:ptCount val="10"/>
                <c:pt idx="0">
                  <c:v>20</c:v>
                </c:pt>
                <c:pt idx="1">
                  <c:v>20</c:v>
                </c:pt>
                <c:pt idx="2">
                  <c:v>21</c:v>
                </c:pt>
                <c:pt idx="3">
                  <c:v>21</c:v>
                </c:pt>
                <c:pt idx="4">
                  <c:v>21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21</c:v>
                </c:pt>
                <c:pt idx="9">
                  <c:v>20</c:v>
                </c:pt>
              </c:numCache>
            </c:numRef>
          </c:val>
        </c:ser>
        <c:ser>
          <c:idx val="1"/>
          <c:order val="1"/>
          <c:tx>
            <c:v>Treatment</c:v>
          </c:tx>
          <c:spPr>
            <a:ln w="25400" cap="rnd">
              <a:noFill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plus>
              <c:numRef>
                <c:f>Sheet2!$P$3:$Y$3</c:f>
                <c:numCache>
                  <c:formatCode>General</c:formatCode>
                  <c:ptCount val="10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</c:v>
                  </c:pt>
                  <c:pt idx="4">
                    <c:v>1</c:v>
                  </c:pt>
                  <c:pt idx="5">
                    <c:v>0</c:v>
                  </c:pt>
                  <c:pt idx="6">
                    <c:v>1</c:v>
                  </c:pt>
                </c:numCache>
              </c:numRef>
            </c:plus>
            <c:minus>
              <c:numRef>
                <c:f>Sheet2!$P$3:$Y$3</c:f>
                <c:numCache>
                  <c:formatCode>General</c:formatCode>
                  <c:ptCount val="10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</c:v>
                  </c:pt>
                  <c:pt idx="4">
                    <c:v>1</c:v>
                  </c:pt>
                  <c:pt idx="5">
                    <c:v>0</c:v>
                  </c:pt>
                  <c:pt idx="6">
                    <c:v>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Sheet2!$B$1:$K$1</c:f>
              <c:numCache>
                <c:formatCode>0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21</c:v>
                </c:pt>
              </c:numCache>
            </c:numRef>
          </c:cat>
          <c:val>
            <c:numRef>
              <c:f>Sheet2!$P$2:$Y$2</c:f>
              <c:numCache>
                <c:formatCode>0</c:formatCode>
                <c:ptCount val="10"/>
                <c:pt idx="0">
                  <c:v>20</c:v>
                </c:pt>
                <c:pt idx="1">
                  <c:v>21</c:v>
                </c:pt>
                <c:pt idx="2">
                  <c:v>21</c:v>
                </c:pt>
                <c:pt idx="3">
                  <c:v>21</c:v>
                </c:pt>
                <c:pt idx="4">
                  <c:v>21</c:v>
                </c:pt>
                <c:pt idx="5">
                  <c:v>21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</c:numCache>
            </c:numRef>
          </c:val>
        </c:ser>
        <c:marker val="1"/>
        <c:axId val="60371712"/>
        <c:axId val="60373248"/>
      </c:lineChart>
      <c:catAx>
        <c:axId val="60371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(days)</a:t>
                </a:r>
              </a:p>
            </c:rich>
          </c:tx>
          <c:layout/>
        </c:title>
        <c:numFmt formatCode="0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373248"/>
        <c:crosses val="autoZero"/>
        <c:auto val="1"/>
        <c:lblAlgn val="ctr"/>
        <c:lblOffset val="100"/>
      </c:catAx>
      <c:valAx>
        <c:axId val="60373248"/>
        <c:scaling>
          <c:orientation val="minMax"/>
          <c:min val="0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Temperature (ᵒC)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37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467942854448584"/>
          <c:y val="0.68528844050743654"/>
          <c:w val="0.16111688434155311"/>
          <c:h val="0.1330353237095363"/>
        </c:manualLayout>
      </c:layout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 rot="-5400000" vert="horz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651773764123172"/>
          <c:y val="4.0740655037183722E-2"/>
          <c:w val="0.85721691468663952"/>
          <c:h val="0.8085925835325023"/>
        </c:manualLayout>
      </c:layout>
      <c:lineChart>
        <c:grouping val="standard"/>
        <c:ser>
          <c:idx val="0"/>
          <c:order val="0"/>
          <c:tx>
            <c:v>Control</c:v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plus>
              <c:numRef>
                <c:f>Sheet2!$B$6:$K$6</c:f>
                <c:numCache>
                  <c:formatCode>General</c:formatCode>
                  <c:ptCount val="10"/>
                  <c:pt idx="0">
                    <c:v>6</c:v>
                  </c:pt>
                  <c:pt idx="1">
                    <c:v>2</c:v>
                  </c:pt>
                  <c:pt idx="2">
                    <c:v>6</c:v>
                  </c:pt>
                  <c:pt idx="3">
                    <c:v>2</c:v>
                  </c:pt>
                  <c:pt idx="4">
                    <c:v>1</c:v>
                  </c:pt>
                  <c:pt idx="5">
                    <c:v>3</c:v>
                  </c:pt>
                  <c:pt idx="6">
                    <c:v>6</c:v>
                  </c:pt>
                </c:numCache>
              </c:numRef>
            </c:plus>
            <c:minus>
              <c:numRef>
                <c:f>Sheet2!$B$6:$K$6</c:f>
                <c:numCache>
                  <c:formatCode>General</c:formatCode>
                  <c:ptCount val="10"/>
                  <c:pt idx="0">
                    <c:v>6</c:v>
                  </c:pt>
                  <c:pt idx="1">
                    <c:v>2</c:v>
                  </c:pt>
                  <c:pt idx="2">
                    <c:v>6</c:v>
                  </c:pt>
                  <c:pt idx="3">
                    <c:v>2</c:v>
                  </c:pt>
                  <c:pt idx="4">
                    <c:v>1</c:v>
                  </c:pt>
                  <c:pt idx="5">
                    <c:v>3</c:v>
                  </c:pt>
                  <c:pt idx="6">
                    <c:v>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Sheet2!$B$1:$K$1</c:f>
              <c:numCache>
                <c:formatCode>0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21</c:v>
                </c:pt>
              </c:numCache>
            </c:numRef>
          </c:cat>
          <c:val>
            <c:numRef>
              <c:f>Sheet2!$B$5:$K$5</c:f>
              <c:numCache>
                <c:formatCode>0</c:formatCode>
                <c:ptCount val="10"/>
                <c:pt idx="0">
                  <c:v>63</c:v>
                </c:pt>
                <c:pt idx="1">
                  <c:v>85</c:v>
                </c:pt>
                <c:pt idx="2">
                  <c:v>81</c:v>
                </c:pt>
                <c:pt idx="3">
                  <c:v>86</c:v>
                </c:pt>
                <c:pt idx="4">
                  <c:v>87</c:v>
                </c:pt>
                <c:pt idx="5">
                  <c:v>93</c:v>
                </c:pt>
                <c:pt idx="6">
                  <c:v>95</c:v>
                </c:pt>
                <c:pt idx="7">
                  <c:v>86</c:v>
                </c:pt>
                <c:pt idx="8">
                  <c:v>94</c:v>
                </c:pt>
                <c:pt idx="9">
                  <c:v>83</c:v>
                </c:pt>
              </c:numCache>
            </c:numRef>
          </c:val>
        </c:ser>
        <c:ser>
          <c:idx val="1"/>
          <c:order val="1"/>
          <c:tx>
            <c:v>Treatment</c:v>
          </c:tx>
          <c:spPr>
            <a:ln w="28575" cap="rnd">
              <a:noFill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plus>
              <c:numRef>
                <c:f>Sheet2!$P$6:$Y$6</c:f>
                <c:numCache>
                  <c:formatCode>General</c:formatCode>
                  <c:ptCount val="10"/>
                  <c:pt idx="0">
                    <c:v>12</c:v>
                  </c:pt>
                  <c:pt idx="1">
                    <c:v>4</c:v>
                  </c:pt>
                  <c:pt idx="2">
                    <c:v>2</c:v>
                  </c:pt>
                  <c:pt idx="3">
                    <c:v>2</c:v>
                  </c:pt>
                  <c:pt idx="4">
                    <c:v>4</c:v>
                  </c:pt>
                  <c:pt idx="5">
                    <c:v>3</c:v>
                  </c:pt>
                  <c:pt idx="6">
                    <c:v>7</c:v>
                  </c:pt>
                </c:numCache>
              </c:numRef>
            </c:plus>
            <c:minus>
              <c:numRef>
                <c:f>Sheet2!$P$6:$Y$6</c:f>
                <c:numCache>
                  <c:formatCode>General</c:formatCode>
                  <c:ptCount val="10"/>
                  <c:pt idx="0">
                    <c:v>12</c:v>
                  </c:pt>
                  <c:pt idx="1">
                    <c:v>4</c:v>
                  </c:pt>
                  <c:pt idx="2">
                    <c:v>2</c:v>
                  </c:pt>
                  <c:pt idx="3">
                    <c:v>2</c:v>
                  </c:pt>
                  <c:pt idx="4">
                    <c:v>4</c:v>
                  </c:pt>
                  <c:pt idx="5">
                    <c:v>3</c:v>
                  </c:pt>
                  <c:pt idx="6">
                    <c:v>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Sheet2!$B$1:$K$1</c:f>
              <c:numCache>
                <c:formatCode>0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21</c:v>
                </c:pt>
              </c:numCache>
            </c:numRef>
          </c:cat>
          <c:val>
            <c:numRef>
              <c:f>Sheet2!$P$5:$Y$5</c:f>
              <c:numCache>
                <c:formatCode>0</c:formatCode>
                <c:ptCount val="10"/>
                <c:pt idx="0">
                  <c:v>40</c:v>
                </c:pt>
                <c:pt idx="1">
                  <c:v>83</c:v>
                </c:pt>
                <c:pt idx="2">
                  <c:v>84</c:v>
                </c:pt>
                <c:pt idx="3">
                  <c:v>85</c:v>
                </c:pt>
                <c:pt idx="4">
                  <c:v>83</c:v>
                </c:pt>
                <c:pt idx="5">
                  <c:v>90</c:v>
                </c:pt>
                <c:pt idx="6">
                  <c:v>91</c:v>
                </c:pt>
                <c:pt idx="7">
                  <c:v>88</c:v>
                </c:pt>
                <c:pt idx="8">
                  <c:v>94</c:v>
                </c:pt>
                <c:pt idx="9">
                  <c:v>94</c:v>
                </c:pt>
              </c:numCache>
            </c:numRef>
          </c:val>
        </c:ser>
        <c:marker val="1"/>
        <c:axId val="60444672"/>
        <c:axId val="60446592"/>
      </c:lineChart>
      <c:catAx>
        <c:axId val="604446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  <a:r>
                  <a:rPr lang="en-US" baseline="0"/>
                  <a:t> (days)</a:t>
                </a:r>
                <a:endParaRPr lang="en-US"/>
              </a:p>
            </c:rich>
          </c:tx>
          <c:layout/>
        </c:title>
        <c:numFmt formatCode="0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446592"/>
        <c:crosses val="autoZero"/>
        <c:auto val="1"/>
        <c:lblAlgn val="ctr"/>
        <c:lblOffset val="100"/>
      </c:catAx>
      <c:valAx>
        <c:axId val="60446592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Dissolved Oxygen (mg/L)</a:t>
                </a:r>
              </a:p>
            </c:rich>
          </c:tx>
          <c:layout>
            <c:manualLayout>
              <c:xMode val="edge"/>
              <c:yMode val="edge"/>
              <c:x val="1.2327095966452473E-2"/>
              <c:y val="0.21590496500437462"/>
            </c:manualLayout>
          </c:layout>
          <c:spPr>
            <a:noFill/>
            <a:ln>
              <a:noFill/>
            </a:ln>
            <a:effectLst/>
          </c:spPr>
        </c:title>
        <c:numFmt formatCode="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44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2628461851751288"/>
          <c:y val="0.69611138451443566"/>
          <c:w val="0.16107830271216114"/>
          <c:h val="0.1330353237095363"/>
        </c:manualLayout>
      </c:layout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0.13532088122605365"/>
          <c:y val="4.0434164479440073E-2"/>
          <c:w val="0.8420643270884246"/>
          <c:h val="0.79614364610673671"/>
        </c:manualLayout>
      </c:layout>
      <c:lineChart>
        <c:grouping val="standard"/>
        <c:ser>
          <c:idx val="0"/>
          <c:order val="0"/>
          <c:tx>
            <c:v>Control </c:v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plus>
              <c:numRef>
                <c:f>Sheet2!$B$9:$K$9</c:f>
                <c:numCache>
                  <c:formatCode>General</c:formatCode>
                  <c:ptCount val="10"/>
                  <c:pt idx="0">
                    <c:v>32</c:v>
                  </c:pt>
                  <c:pt idx="1">
                    <c:v>130</c:v>
                  </c:pt>
                  <c:pt idx="2">
                    <c:v>138</c:v>
                  </c:pt>
                  <c:pt idx="3">
                    <c:v>33</c:v>
                  </c:pt>
                  <c:pt idx="4">
                    <c:v>19</c:v>
                  </c:pt>
                  <c:pt idx="5">
                    <c:v>51</c:v>
                  </c:pt>
                  <c:pt idx="6">
                    <c:v>34</c:v>
                  </c:pt>
                </c:numCache>
              </c:numRef>
            </c:plus>
            <c:minus>
              <c:numRef>
                <c:f>Sheet2!$B$9:$K$9</c:f>
                <c:numCache>
                  <c:formatCode>General</c:formatCode>
                  <c:ptCount val="10"/>
                  <c:pt idx="0">
                    <c:v>32</c:v>
                  </c:pt>
                  <c:pt idx="1">
                    <c:v>130</c:v>
                  </c:pt>
                  <c:pt idx="2">
                    <c:v>138</c:v>
                  </c:pt>
                  <c:pt idx="3">
                    <c:v>33</c:v>
                  </c:pt>
                  <c:pt idx="4">
                    <c:v>19</c:v>
                  </c:pt>
                  <c:pt idx="5">
                    <c:v>51</c:v>
                  </c:pt>
                  <c:pt idx="6">
                    <c:v>34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Sheet2!$B$1:$K$1</c:f>
              <c:numCache>
                <c:formatCode>0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21</c:v>
                </c:pt>
              </c:numCache>
            </c:numRef>
          </c:cat>
          <c:val>
            <c:numRef>
              <c:f>Sheet2!$B$8:$K$8</c:f>
              <c:numCache>
                <c:formatCode>0</c:formatCode>
                <c:ptCount val="10"/>
                <c:pt idx="0">
                  <c:v>1614</c:v>
                </c:pt>
                <c:pt idx="1">
                  <c:v>1027</c:v>
                </c:pt>
                <c:pt idx="2">
                  <c:v>1040</c:v>
                </c:pt>
                <c:pt idx="3">
                  <c:v>1150</c:v>
                </c:pt>
                <c:pt idx="4">
                  <c:v>1122</c:v>
                </c:pt>
                <c:pt idx="5">
                  <c:v>1056</c:v>
                </c:pt>
                <c:pt idx="6">
                  <c:v>1031</c:v>
                </c:pt>
                <c:pt idx="7">
                  <c:v>633</c:v>
                </c:pt>
                <c:pt idx="8">
                  <c:v>667</c:v>
                </c:pt>
                <c:pt idx="9">
                  <c:v>403</c:v>
                </c:pt>
              </c:numCache>
            </c:numRef>
          </c:val>
        </c:ser>
        <c:ser>
          <c:idx val="1"/>
          <c:order val="1"/>
          <c:tx>
            <c:v>Treatment</c:v>
          </c:tx>
          <c:spPr>
            <a:ln w="28575" cap="rnd">
              <a:noFill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plus>
              <c:numRef>
                <c:f>Sheet2!$P$9:$Y$9</c:f>
                <c:numCache>
                  <c:formatCode>General</c:formatCode>
                  <c:ptCount val="10"/>
                  <c:pt idx="0">
                    <c:v>28</c:v>
                  </c:pt>
                  <c:pt idx="1">
                    <c:v>43</c:v>
                  </c:pt>
                  <c:pt idx="2">
                    <c:v>28</c:v>
                  </c:pt>
                  <c:pt idx="3">
                    <c:v>17</c:v>
                  </c:pt>
                  <c:pt idx="4">
                    <c:v>0</c:v>
                  </c:pt>
                  <c:pt idx="5">
                    <c:v>33</c:v>
                  </c:pt>
                  <c:pt idx="6">
                    <c:v>220</c:v>
                  </c:pt>
                </c:numCache>
              </c:numRef>
            </c:plus>
            <c:minus>
              <c:numRef>
                <c:f>Sheet2!$P$9:$Y$9</c:f>
                <c:numCache>
                  <c:formatCode>General</c:formatCode>
                  <c:ptCount val="10"/>
                  <c:pt idx="0">
                    <c:v>28</c:v>
                  </c:pt>
                  <c:pt idx="1">
                    <c:v>43</c:v>
                  </c:pt>
                  <c:pt idx="2">
                    <c:v>28</c:v>
                  </c:pt>
                  <c:pt idx="3">
                    <c:v>17</c:v>
                  </c:pt>
                  <c:pt idx="4">
                    <c:v>0</c:v>
                  </c:pt>
                  <c:pt idx="5">
                    <c:v>33</c:v>
                  </c:pt>
                  <c:pt idx="6">
                    <c:v>220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Sheet2!$B$1:$K$1</c:f>
              <c:numCache>
                <c:formatCode>0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21</c:v>
                </c:pt>
              </c:numCache>
            </c:numRef>
          </c:cat>
          <c:val>
            <c:numRef>
              <c:f>Sheet2!$P$8:$Y$8</c:f>
              <c:numCache>
                <c:formatCode>0</c:formatCode>
                <c:ptCount val="10"/>
                <c:pt idx="0">
                  <c:v>1393</c:v>
                </c:pt>
                <c:pt idx="1">
                  <c:v>1060</c:v>
                </c:pt>
                <c:pt idx="2">
                  <c:v>1040</c:v>
                </c:pt>
                <c:pt idx="3">
                  <c:v>1092</c:v>
                </c:pt>
                <c:pt idx="4">
                  <c:v>1100</c:v>
                </c:pt>
                <c:pt idx="5">
                  <c:v>1067</c:v>
                </c:pt>
                <c:pt idx="6">
                  <c:v>920</c:v>
                </c:pt>
                <c:pt idx="7">
                  <c:v>700</c:v>
                </c:pt>
                <c:pt idx="8">
                  <c:v>700</c:v>
                </c:pt>
                <c:pt idx="9">
                  <c:v>617</c:v>
                </c:pt>
              </c:numCache>
            </c:numRef>
          </c:val>
        </c:ser>
        <c:marker val="1"/>
        <c:axId val="60463744"/>
        <c:axId val="60478208"/>
      </c:lineChart>
      <c:catAx>
        <c:axId val="60463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(days)</a:t>
                </a:r>
              </a:p>
            </c:rich>
          </c:tx>
          <c:layout/>
        </c:title>
        <c:numFmt formatCode="0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478208"/>
        <c:crosses val="autoZero"/>
        <c:auto val="1"/>
        <c:lblAlgn val="ctr"/>
        <c:lblOffset val="100"/>
      </c:catAx>
      <c:valAx>
        <c:axId val="60478208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Conductivity</a:t>
                </a:r>
                <a:r>
                  <a:rPr lang="en-US" b="1" baseline="0"/>
                  <a:t> (µS)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7.1839080459770114E-3"/>
              <c:y val="0.31928723753280885"/>
            </c:manualLayout>
          </c:layout>
          <c:spPr>
            <a:noFill/>
            <a:ln>
              <a:noFill/>
            </a:ln>
            <a:effectLst/>
          </c:spPr>
        </c:title>
        <c:numFmt formatCode="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46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687188885872024"/>
          <c:y val="0.6904267825896766"/>
          <c:w val="0.16107830271216114"/>
          <c:h val="0.1330353237095363"/>
        </c:manualLayout>
      </c:layout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233477011494252"/>
          <c:y val="4.0434164479440073E-2"/>
          <c:w val="0.84297089480194287"/>
          <c:h val="0.81156222659667543"/>
        </c:manualLayout>
      </c:layout>
      <c:lineChart>
        <c:grouping val="standard"/>
        <c:ser>
          <c:idx val="0"/>
          <c:order val="0"/>
          <c:tx>
            <c:v>Control</c:v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cat>
            <c:numRef>
              <c:f>Sheet2!$B$1:$K$1</c:f>
              <c:numCache>
                <c:formatCode>0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21</c:v>
                </c:pt>
              </c:numCache>
            </c:numRef>
          </c:cat>
          <c:val>
            <c:numRef>
              <c:f>Sheet2!$B$11:$K$11</c:f>
              <c:numCache>
                <c:formatCode>0</c:formatCode>
                <c:ptCount val="10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11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v>Treatment</c:v>
          </c:tx>
          <c:spPr>
            <a:ln w="28575" cap="rnd">
              <a:noFill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Sheet2!$B$1:$K$1</c:f>
              <c:numCache>
                <c:formatCode>0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21</c:v>
                </c:pt>
              </c:numCache>
            </c:numRef>
          </c:cat>
          <c:val>
            <c:numRef>
              <c:f>Sheet2!$P$11:$Y$11</c:f>
              <c:numCache>
                <c:formatCode>0</c:formatCode>
                <c:ptCount val="10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11</c:v>
                </c:pt>
                <c:pt idx="9">
                  <c:v>10</c:v>
                </c:pt>
              </c:numCache>
            </c:numRef>
          </c:val>
        </c:ser>
        <c:marker val="1"/>
        <c:axId val="60592896"/>
        <c:axId val="60595200"/>
      </c:lineChart>
      <c:catAx>
        <c:axId val="60592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(days)</a:t>
                </a:r>
              </a:p>
            </c:rich>
          </c:tx>
          <c:layout/>
        </c:title>
        <c:numFmt formatCode="0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595200"/>
        <c:crosses val="autoZero"/>
        <c:auto val="1"/>
        <c:lblAlgn val="ctr"/>
        <c:lblOffset val="100"/>
      </c:catAx>
      <c:valAx>
        <c:axId val="60595200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pH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59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250407276676629"/>
          <c:y val="0.70084344925634301"/>
          <c:w val="0.16107830271216114"/>
          <c:h val="0.1330353237095363"/>
        </c:manualLayout>
      </c:layout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Hydro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2016-07-19T12:55:00Z</dcterms:created>
  <dcterms:modified xsi:type="dcterms:W3CDTF">2016-08-22T14:13:00Z</dcterms:modified>
</cp:coreProperties>
</file>