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media/image11.wmf" ContentType="image/x-wmf"/>
  <Override PartName="/word/media/image10.wmf" ContentType="image/x-wmf"/>
  <Override PartName="/word/media/image9.wmf" ContentType="image/x-wmf"/>
  <Override PartName="/word/media/image8.wmf" ContentType="image/x-wmf"/>
  <Override PartName="/word/media/image4.jpeg" ContentType="image/jpeg"/>
  <Override PartName="/word/media/image6.jpeg" ContentType="image/jpeg"/>
  <Override PartName="/word/media/image3.png" ContentType="image/png"/>
  <Override PartName="/word/media/image7.wmf" ContentType="image/x-wmf"/>
  <Override PartName="/word/media/image5.jpeg" ContentType="image/jpeg"/>
  <Override PartName="/word/media/image2.png" ContentType="image/png"/>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drawing>
          <wp:inline distT="0" distB="0" distL="0" distR="0">
            <wp:extent cx="5473700" cy="7683500"/>
            <wp:effectExtent l="0" t="0" r="0" b="0"/>
            <wp:docPr id="0" name="Picture" descr="Macintosh HD:Users:sarahwarrack:Desktop:map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Macintosh HD:Users:sarahwarrack:Desktop:map2017.jpg"/>
                    <pic:cNvPicPr>
                      <a:picLocks noChangeAspect="1" noChangeArrowheads="1"/>
                    </pic:cNvPicPr>
                  </pic:nvPicPr>
                  <pic:blipFill>
                    <a:blip r:embed="rId2"/>
                    <a:stretch>
                      <a:fillRect/>
                    </a:stretch>
                  </pic:blipFill>
                  <pic:spPr bwMode="auto">
                    <a:xfrm>
                      <a:off x="0" y="0"/>
                      <a:ext cx="5473700" cy="7683500"/>
                    </a:xfrm>
                    <a:prstGeom prst="rect">
                      <a:avLst/>
                    </a:prstGeom>
                    <a:noFill/>
                    <a:ln w="9525">
                      <a:noFill/>
                      <a:miter lim="800000"/>
                      <a:headEnd/>
                      <a:tailEnd/>
                    </a:ln>
                  </pic:spPr>
                </pic:pic>
              </a:graphicData>
            </a:graphic>
          </wp:inline>
        </w:drawing>
      </w:r>
    </w:p>
    <w:p>
      <w:pPr>
        <w:pStyle w:val="Normal"/>
        <w:rPr/>
      </w:pPr>
      <w:r>
        <w:rPr/>
      </w:r>
    </w:p>
    <w:p>
      <w:pPr>
        <w:pStyle w:val="Normal"/>
        <w:spacing w:lineRule="auto" w:line="480"/>
        <w:rPr>
          <w:rFonts w:ascii="Times New Roman" w:hAnsi="Times New Roman"/>
        </w:rPr>
      </w:pPr>
      <w:r>
        <w:rPr>
          <w:rFonts w:ascii="Times New Roman" w:hAnsi="Times New Roman"/>
        </w:rPr>
        <w:t xml:space="preserve">Figure 1. Map of surface water and fish (Selkirk Park) sample collection sites (triangles) and Winnipeg’s three wastewater treatment plants (squares): South End Water Pollution Control Centre, North End Water Pollution Control Centre, West End Water Pollution Control Centre. Emerson and Courchaine Road Bridge upstream of SEWPCC. Redboine Boat Club downstream of SEWPCC. RMYC downstream of NEWPCC. Forks downstream of WEWPCC.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pict>
          <v:group id="shape_0" alt="Group 1" style="position:absolute;margin-left:0pt;margin-top:0pt;width:432pt;height:286.45pt" coordorigin="0,0" coordsize="8640,5729">
            <v:rect id="shape_0" stroked="f" style="position:absolute;left:4322;top:0;width:4317;height:3234">
              <v:imagedata r:id="rId3" detectmouseclick="t"/>
              <v:wrap v:type="none"/>
              <v:stroke color="#3465a4" joinstyle="round" endcap="flat"/>
            </v:rect>
            <v:rect id="shape_0" stroked="f" style="position:absolute;left:0;top:0;width:4313;height:3232">
              <v:imagedata r:id="rId4" detectmouseclick="t"/>
              <v:wrap v:type="none"/>
              <v:stroke color="#3465a4" joinstyle="round" endcap="flat"/>
            </v:rect>
            <v:rect id="shape_0" stroked="f" style="position:absolute;left:0;top:3191;width:2880;height:2353">
              <v:imagedata r:id="rId5" detectmouseclick="t"/>
              <v:wrap v:type="none"/>
              <v:stroke color="#3465a4" joinstyle="round" endcap="flat"/>
            </v:rect>
            <v:rect id="shape_0" stroked="f" style="position:absolute;left:5765;top:3191;width:2874;height:2351">
              <v:imagedata r:id="rId6" detectmouseclick="t"/>
              <v:wrap v:type="none"/>
              <v:stroke color="#3465a4" joinstyle="round" endcap="flat"/>
            </v:rect>
            <v:rect id="shape_0" stroked="f" style="position:absolute;left:2894;top:3191;width:2865;height:2352">
              <v:imagedata r:id="rId7" detectmouseclick="t"/>
              <v:wrap v:type="none"/>
              <v:stroke color="#3465a4" joinstyle="round" endcap="flat"/>
            </v:rect>
            <v:shapetype id="shapetype_202" coordsize="21600,21600" o:spt="202" path="m,l,21600l21600,21600l21600,xe">
              <v:stroke joinstyle="miter"/>
              <v:path gradientshapeok="t" o:connecttype="rect"/>
            </v:shapetype>
            <v:shape id="shape_0" stroked="f" style="position:absolute;left:12;top:2646;width:776;height:747" type="shapetype_202">
              <v:wrap v:type="none"/>
              <v:fill on="false" detectmouseclick="t"/>
              <v:stroke color="#3465a4" joinstyle="round" endcap="flat"/>
            </v:shape>
            <v:shape id="shape_0" stroked="f" style="position:absolute;left:4293;top:2646;width:798;height:747" type="shapetype_202">
              <v:wrap v:type="none"/>
              <v:fill on="false" detectmouseclick="t"/>
              <v:stroke color="#3465a4" joinstyle="round" endcap="flat"/>
            </v:shape>
            <v:shape id="shape_0" stroked="f" style="position:absolute;left:12;top:4980;width:753;height:747" type="shapetype_202">
              <v:wrap v:type="none"/>
              <v:fill on="false" detectmouseclick="t"/>
              <v:stroke color="#3465a4" joinstyle="round" endcap="flat"/>
            </v:shape>
            <v:shape id="shape_0" stroked="f" style="position:absolute;left:2892;top:4981;width:798;height:747" type="shapetype_202">
              <v:wrap v:type="none"/>
              <v:fill on="false" detectmouseclick="t"/>
              <v:stroke color="#3465a4" joinstyle="round" endcap="flat"/>
            </v:shape>
            <v:shape id="shape_0" stroked="f" style="position:absolute;left:5772;top:4980;width:753;height:747" type="shapetype_202">
              <v:wrap v:type="none"/>
              <v:fill on="false" detectmouseclick="t"/>
              <v:stroke color="#3465a4" joinstyle="round" endcap="flat"/>
            </v:shape>
          </v:group>
        </w:pict>
      </w:r>
    </w:p>
    <w:p>
      <w:pPr>
        <w:pStyle w:val="Normal"/>
        <w:rPr/>
      </w:pPr>
      <w:r>
        <w:rPr/>
      </w:r>
    </w:p>
    <w:p>
      <w:pPr>
        <w:pStyle w:val="Normal"/>
        <w:rPr>
          <w:rFonts w:ascii="Times New Roman" w:hAnsi="Times New Roman"/>
        </w:rPr>
      </w:pPr>
      <w:r>
        <w:rPr>
          <w:rFonts w:ascii="Times New Roman" w:hAnsi="Times New Roman"/>
        </w:rPr>
        <w:t>Figure 2. The five shapes of microplastics: (a) fragments</w:t>
      </w:r>
      <w:r>
        <w:rPr>
          <w:rFonts w:ascii="Times New Roman" w:hAnsi="Times New Roman"/>
          <w:color w:val="FF0000"/>
        </w:rPr>
        <w:t xml:space="preserve"> </w:t>
      </w:r>
      <w:r>
        <w:rPr>
          <w:rFonts w:ascii="Times New Roman" w:hAnsi="Times New Roman"/>
        </w:rPr>
        <w:t>(hard with jagged edges), (b) fibres</w:t>
      </w:r>
      <w:r>
        <w:rPr>
          <w:rFonts w:ascii="Times New Roman" w:hAnsi="Times New Roman"/>
          <w:color w:val="FF0000"/>
        </w:rPr>
        <w:t xml:space="preserve"> </w:t>
      </w:r>
      <w:r>
        <w:rPr>
          <w:rFonts w:ascii="Times New Roman" w:hAnsi="Times New Roman"/>
        </w:rPr>
        <w:t>(thin lines), (c) films</w:t>
      </w:r>
      <w:r>
        <w:rPr>
          <w:rFonts w:ascii="Times New Roman" w:hAnsi="Times New Roman"/>
          <w:color w:val="FF0000"/>
        </w:rPr>
        <w:t xml:space="preserve"> </w:t>
      </w:r>
      <w:r>
        <w:rPr>
          <w:rFonts w:ascii="Times New Roman" w:hAnsi="Times New Roman"/>
        </w:rPr>
        <w:t>(flimsy planes), (d)</w:t>
      </w:r>
      <w:r>
        <w:rPr>
          <w:rFonts w:ascii="Times New Roman" w:hAnsi="Times New Roman"/>
          <w:color w:val="FF0000"/>
        </w:rPr>
        <w:t xml:space="preserve"> </w:t>
      </w:r>
      <w:r>
        <w:rPr>
          <w:rFonts w:ascii="Times New Roman" w:hAnsi="Times New Roman"/>
        </w:rPr>
        <w:t>foams</w:t>
      </w:r>
      <w:r>
        <w:rPr>
          <w:rFonts w:ascii="Times New Roman" w:hAnsi="Times New Roman"/>
          <w:color w:val="FF0000"/>
        </w:rPr>
        <w:t xml:space="preserve"> </w:t>
      </w:r>
      <w:r>
        <w:rPr>
          <w:rFonts w:ascii="Times New Roman" w:hAnsi="Times New Roman"/>
        </w:rPr>
        <w:t>(sponge-like and light weight), (d)</w:t>
      </w:r>
      <w:r>
        <w:rPr>
          <w:rFonts w:ascii="Times New Roman" w:hAnsi="Times New Roman"/>
          <w:color w:val="FF0000"/>
        </w:rPr>
        <w:t xml:space="preserve"> </w:t>
      </w:r>
      <w:r>
        <w:rPr>
          <w:rFonts w:ascii="Times New Roman" w:hAnsi="Times New Roman"/>
        </w:rPr>
        <w:t xml:space="preserve">pellets (hard and spherical in shape), Photo credit: Sarah Warrack.  </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pPr>
      <w:r>
        <w:rPr/>
        <w:drawing>
          <wp:inline distT="0" distB="0" distL="0" distR="0">
            <wp:extent cx="5486400" cy="417258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8"/>
                    <a:stretch>
                      <a:fillRect/>
                    </a:stretch>
                  </pic:blipFill>
                  <pic:spPr bwMode="auto">
                    <a:xfrm>
                      <a:off x="0" y="0"/>
                      <a:ext cx="5486400" cy="4172585"/>
                    </a:xfrm>
                    <a:prstGeom prst="rect">
                      <a:avLst/>
                    </a:prstGeom>
                    <a:noFill/>
                    <a:ln w="9525">
                      <a:noFill/>
                      <a:miter lim="800000"/>
                      <a:headEnd/>
                      <a:tailEnd/>
                    </a:ln>
                  </pic:spPr>
                </pic:pic>
              </a:graphicData>
            </a:graphic>
          </wp:inline>
        </w:drawing>
      </w:r>
    </w:p>
    <w:p>
      <w:pPr>
        <w:pStyle w:val="Normal"/>
        <w:spacing w:lineRule="auto" w:line="480"/>
        <w:rPr>
          <w:rFonts w:ascii="Times New Roman" w:hAnsi="Times New Roman"/>
        </w:rPr>
      </w:pPr>
      <w:r>
        <w:rPr>
          <w:rFonts w:ascii="Times New Roman" w:hAnsi="Times New Roman"/>
        </w:rPr>
        <w:t>Figure 3. Densities of microplastics/km</w:t>
      </w:r>
      <w:r>
        <w:rPr>
          <w:rFonts w:ascii="Times New Roman" w:hAnsi="Times New Roman"/>
          <w:vertAlign w:val="superscript"/>
        </w:rPr>
        <w:t>2</w:t>
      </w:r>
      <w:r>
        <w:rPr>
          <w:rFonts w:ascii="Times New Roman" w:hAnsi="Times New Roman"/>
        </w:rPr>
        <w:t xml:space="preserve"> calculated for each sampling date at 4 Red River sites arranged South to North in direction of flow: Emerson, Courchaine Road Bridge, Redboine boat club, and the Royal Manitoba Yacht Club, the Assiniboine River at the Forks, and the Nelson River. A triplicate sample was collected in July at the RMYC, the average and standard error calculated was 112,002 ± 29,339 microplastics/km</w:t>
      </w:r>
      <w:r>
        <w:rPr>
          <w:rFonts w:ascii="Times New Roman" w:hAnsi="Times New Roman"/>
          <w:vertAlign w:val="superscript"/>
        </w:rPr>
        <w:t>2</w:t>
      </w:r>
      <w:r>
        <w:rPr>
          <w:rFonts w:ascii="Times New Roman" w:hAnsi="Times New Roman"/>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Table 1. Microplastic densities in surface areas (microplastics/km</w:t>
      </w:r>
      <w:r>
        <w:rPr>
          <w:vertAlign w:val="superscript"/>
        </w:rPr>
        <w:t>2</w:t>
      </w:r>
      <w:r>
        <w:rPr/>
        <w:t>) and volume (microplastics/km</w:t>
      </w:r>
      <w:r>
        <w:rPr>
          <w:vertAlign w:val="superscript"/>
        </w:rPr>
        <w:t>3</w:t>
      </w:r>
      <w:r>
        <w:rPr/>
        <w:t xml:space="preserve">) for the 12 sites. The sites were arranged from South to North on the Red River. </w:t>
      </w:r>
    </w:p>
    <w:p>
      <w:pPr>
        <w:pStyle w:val="Normal"/>
        <w:rPr/>
      </w:pPr>
      <w:r>
        <w:rPr/>
      </w:r>
    </w:p>
    <w:tbl>
      <w:tblPr>
        <w:jc w:val="left"/>
        <w:tblInd w:w="108"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1286"/>
        <w:gridCol w:w="1586"/>
        <w:gridCol w:w="1455"/>
        <w:gridCol w:w="2145"/>
        <w:gridCol w:w="2493"/>
      </w:tblGrid>
      <w:tr>
        <w:trPr>
          <w:trHeight w:val="881"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r>
          </w:p>
          <w:p>
            <w:pPr>
              <w:pStyle w:val="Normal"/>
              <w:rPr/>
            </w:pPr>
            <w:r>
              <w:rPr/>
              <w:t>Date</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r>
          </w:p>
          <w:p>
            <w:pPr>
              <w:pStyle w:val="Normal"/>
              <w:rPr/>
            </w:pPr>
            <w:r>
              <w:rPr/>
              <w:t>Site</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r>
          </w:p>
          <w:p>
            <w:pPr>
              <w:pStyle w:val="Normal"/>
              <w:rPr/>
            </w:pPr>
            <w:r>
              <w:rPr/>
              <w:t>River</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vertAlign w:val="superscript"/>
              </w:rPr>
            </w:pPr>
            <w:r>
              <w:rPr/>
              <w:t>Surface Area Densities  of microplastics/km</w:t>
            </w:r>
            <w:r>
              <w:rPr>
                <w:vertAlign w:val="superscript"/>
              </w:rPr>
              <w:t>2</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tabs>
                <w:tab w:val="left" w:pos="1451" w:leader="none"/>
              </w:tabs>
              <w:ind w:left="0" w:right="493" w:hanging="0"/>
              <w:rPr>
                <w:vertAlign w:val="superscript"/>
              </w:rPr>
            </w:pPr>
            <w:r>
              <w:rPr/>
              <w:t>Volume Densities of microplastics/m</w:t>
            </w:r>
            <w:r>
              <w:rPr>
                <w:vertAlign w:val="superscript"/>
              </w:rPr>
              <w:t>3</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06-Oct-16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Emerson</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65,626.93</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0.70</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07-Jul-16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Courchaine</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143,201.90</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1.53</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27-Jun-16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Redboine</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806,763.83</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8.62</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07-Jul-16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Redboine</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667,045.81</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7.13</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06-Oct-16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Redboine</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751,743.85</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8.03</w:t>
            </w:r>
          </w:p>
        </w:tc>
      </w:tr>
      <w:tr>
        <w:trPr>
          <w:trHeight w:val="315"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27-Jun-16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RMYC</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631,540.63</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6.75</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07-Jul-16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RMYC</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126142.26</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0.94</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06-Oct-16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RMYC</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Red</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808,549.79</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8.64</w:t>
            </w:r>
          </w:p>
        </w:tc>
      </w:tr>
      <w:tr>
        <w:trPr>
          <w:trHeight w:val="315"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27-Jun-16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Forks</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Assiniboine</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1,655,485.65</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17.69</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07-Jul-16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Forks</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Assiniboine</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157,686.44</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1.69</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06-Oct-16</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Forks</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Assiniboine</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122,920.24</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1.31</w:t>
            </w:r>
          </w:p>
        </w:tc>
      </w:tr>
      <w:tr>
        <w:trPr>
          <w:trHeight w:val="293" w:hRule="atLeast"/>
          <w:cantSplit w:val="false"/>
        </w:trPr>
        <w:tc>
          <w:tcPr>
            <w:tcW w:w="12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04-May-17</w:t>
            </w:r>
          </w:p>
        </w:tc>
        <w:tc>
          <w:tcPr>
            <w:tcW w:w="15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Nelson</w:t>
            </w:r>
          </w:p>
        </w:tc>
        <w:tc>
          <w:tcPr>
            <w:tcW w:w="145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Nelson</w:t>
            </w:r>
          </w:p>
        </w:tc>
        <w:tc>
          <w:tcPr>
            <w:tcW w:w="214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88,832.44</w:t>
            </w:r>
          </w:p>
        </w:tc>
        <w:tc>
          <w:tcPr>
            <w:tcW w:w="249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Times New Roman" w:ascii="Calibri" w:hAnsi="Calibri"/>
                <w:color w:val="000000"/>
                <w:lang w:val="en-CA"/>
              </w:rPr>
            </w:pPr>
            <w:r>
              <w:rPr>
                <w:rFonts w:eastAsia="Times New Roman" w:cs="Times New Roman" w:ascii="Calibri" w:hAnsi="Calibri"/>
                <w:color w:val="000000"/>
                <w:lang w:val="en-CA"/>
              </w:rPr>
              <w:t>0.95</w:t>
            </w:r>
          </w:p>
        </w:tc>
      </w:tr>
    </w:tbl>
    <w:p>
      <w:pPr>
        <w:pStyle w:val="Normal"/>
        <w:rPr/>
      </w:pPr>
      <w:r>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ascii="Times New Roman" w:hAnsi="Times New Roman"/>
        </w:rPr>
      </w:r>
    </w:p>
    <w:p>
      <w:pPr>
        <w:pStyle w:val="Normal"/>
        <w:spacing w:lineRule="auto" w:line="480"/>
        <w:rPr/>
      </w:pPr>
      <w:r>
        <w:rPr/>
        <w:drawing>
          <wp:inline distT="0" distB="0" distL="0" distR="0">
            <wp:extent cx="5486400" cy="397002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9"/>
                    <a:stretch>
                      <a:fillRect/>
                    </a:stretch>
                  </pic:blipFill>
                  <pic:spPr bwMode="auto">
                    <a:xfrm>
                      <a:off x="0" y="0"/>
                      <a:ext cx="5486400" cy="3970020"/>
                    </a:xfrm>
                    <a:prstGeom prst="rect">
                      <a:avLst/>
                    </a:prstGeom>
                    <a:noFill/>
                    <a:ln w="9525">
                      <a:noFill/>
                      <a:miter lim="800000"/>
                      <a:headEnd/>
                      <a:tailEnd/>
                    </a:ln>
                  </pic:spPr>
                </pic:pic>
              </a:graphicData>
            </a:graphic>
          </wp:inline>
        </w:drawing>
      </w:r>
    </w:p>
    <w:p>
      <w:pPr>
        <w:pStyle w:val="Normal"/>
        <w:spacing w:lineRule="auto" w:line="480"/>
        <w:rPr>
          <w:rFonts w:ascii="Times New Roman" w:hAnsi="Times New Roman"/>
          <w:color w:val="000000"/>
        </w:rPr>
      </w:pPr>
      <w:r>
        <w:rPr>
          <w:rFonts w:ascii="Times New Roman" w:hAnsi="Times New Roman"/>
        </w:rPr>
        <w:t>Figure 4. A comparison of densities of microplastics/km</w:t>
      </w:r>
      <w:r>
        <w:rPr>
          <w:rFonts w:ascii="Times New Roman" w:hAnsi="Times New Roman"/>
          <w:vertAlign w:val="superscript"/>
        </w:rPr>
        <w:t xml:space="preserve">2 </w:t>
      </w:r>
      <w:r>
        <w:rPr>
          <w:rFonts w:ascii="Times New Roman" w:hAnsi="Times New Roman"/>
        </w:rPr>
        <w:t xml:space="preserve">in the Red River upstream and downstream of the South End Water Pollution Control Centre (SEWPCC). No upstream site was sampled in June 2016. </w:t>
      </w:r>
      <w:r>
        <w:rPr>
          <w:rFonts w:ascii="Times New Roman" w:hAnsi="Times New Roman"/>
          <w:color w:val="000000"/>
        </w:rPr>
        <w:t xml:space="preserve">Upstream SEWPCC sites: Emerson and Courchaine Road Bridge, and downstream SEWPCC site: Redboine Boat Club.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480"/>
        <w:rPr/>
      </w:pPr>
      <w:r>
        <w:rPr/>
        <w:drawing>
          <wp:inline distT="0" distB="0" distL="0" distR="0">
            <wp:extent cx="5486400" cy="411988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10"/>
                    <a:stretch>
                      <a:fillRect/>
                    </a:stretch>
                  </pic:blipFill>
                  <pic:spPr bwMode="auto">
                    <a:xfrm>
                      <a:off x="0" y="0"/>
                      <a:ext cx="5486400" cy="4119880"/>
                    </a:xfrm>
                    <a:prstGeom prst="rect">
                      <a:avLst/>
                    </a:prstGeom>
                    <a:noFill/>
                    <a:ln w="9525">
                      <a:noFill/>
                      <a:miter lim="800000"/>
                      <a:headEnd/>
                      <a:tailEnd/>
                    </a:ln>
                  </pic:spPr>
                </pic:pic>
              </a:graphicData>
            </a:graphic>
          </wp:inline>
        </w:drawing>
      </w:r>
    </w:p>
    <w:p>
      <w:pPr>
        <w:pStyle w:val="Normal"/>
        <w:spacing w:lineRule="auto" w:line="480"/>
        <w:rPr>
          <w:rFonts w:ascii="Times New Roman" w:hAnsi="Times New Roman"/>
        </w:rPr>
      </w:pPr>
      <w:r>
        <w:rPr>
          <w:rFonts w:ascii="Times New Roman" w:hAnsi="Times New Roman"/>
        </w:rPr>
        <w:t xml:space="preserve">Figure 5. Z-scored River flux of microplastics from the Red and Assiniboine rivers associated with Z-scored WWTP flux confirmed significant relationship (Pearson Linear Correlation: R=0.96, p-value=0.00005). Redboine was sampled downstream of the South End Water Pollution Control Centre, Forks was sampled downstream of the West End Water Pollution Control Centre and RMYC was sampled downstream of North End Water Pollution Control Centre.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480"/>
        <w:rPr/>
      </w:pPr>
      <w:r>
        <w:rPr/>
        <w:drawing>
          <wp:inline distT="0" distB="0" distL="0" distR="0">
            <wp:extent cx="5486400" cy="4290060"/>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11"/>
                    <a:stretch>
                      <a:fillRect/>
                    </a:stretch>
                  </pic:blipFill>
                  <pic:spPr bwMode="auto">
                    <a:xfrm>
                      <a:off x="0" y="0"/>
                      <a:ext cx="5486400" cy="4290060"/>
                    </a:xfrm>
                    <a:prstGeom prst="rect">
                      <a:avLst/>
                    </a:prstGeom>
                    <a:noFill/>
                    <a:ln w="9525">
                      <a:noFill/>
                      <a:miter lim="800000"/>
                      <a:headEnd/>
                      <a:tailEnd/>
                    </a:ln>
                  </pic:spPr>
                </pic:pic>
              </a:graphicData>
            </a:graphic>
          </wp:inline>
        </w:drawing>
      </w:r>
    </w:p>
    <w:p>
      <w:pPr>
        <w:pStyle w:val="Normal"/>
        <w:spacing w:lineRule="auto" w:line="480"/>
        <w:rPr/>
      </w:pPr>
      <w:r>
        <w:rPr>
          <w:rFonts w:ascii="Times New Roman" w:hAnsi="Times New Roman"/>
        </w:rPr>
        <w:t>Figure 6. Flux of microplastics/m</w:t>
      </w:r>
      <w:r>
        <w:rPr>
          <w:rFonts w:ascii="Times New Roman" w:hAnsi="Times New Roman"/>
          <w:vertAlign w:val="superscript"/>
        </w:rPr>
        <w:t>2</w:t>
      </w:r>
      <w:r>
        <w:rPr>
          <w:rFonts w:ascii="Times New Roman" w:hAnsi="Times New Roman"/>
        </w:rPr>
        <w:t xml:space="preserve">/s (Z-scored) within the Red and Assiniboine Rivers as a function of season. </w:t>
      </w: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480"/>
        <w:rPr/>
      </w:pPr>
      <w:r>
        <w:rPr/>
        <w:drawing>
          <wp:inline distT="0" distB="0" distL="0" distR="0">
            <wp:extent cx="5486400" cy="4114800"/>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12"/>
                    <a:stretch>
                      <a:fillRect/>
                    </a:stretch>
                  </pic:blipFill>
                  <pic:spPr bwMode="auto">
                    <a:xfrm>
                      <a:off x="0" y="0"/>
                      <a:ext cx="5486400" cy="4114800"/>
                    </a:xfrm>
                    <a:prstGeom prst="rect">
                      <a:avLst/>
                    </a:prstGeom>
                    <a:noFill/>
                    <a:ln w="9525">
                      <a:noFill/>
                      <a:miter lim="800000"/>
                      <a:headEnd/>
                      <a:tailEnd/>
                    </a:ln>
                  </pic:spPr>
                </pic:pic>
              </a:graphicData>
            </a:graphic>
          </wp:inline>
        </w:drawing>
      </w:r>
    </w:p>
    <w:p>
      <w:pPr>
        <w:pStyle w:val="Normal"/>
        <w:spacing w:lineRule="auto" w:line="480"/>
        <w:rPr>
          <w:rFonts w:ascii="Times New Roman" w:hAnsi="Times New Roman"/>
        </w:rPr>
      </w:pPr>
      <w:r>
        <w:rPr>
          <w:rFonts w:ascii="Times New Roman" w:hAnsi="Times New Roman"/>
        </w:rPr>
        <w:t xml:space="preserve">Figure 7. The proportion of the four types of microplastic particles ( a)fibres, b) foams,  c) fragments, and d) films) found at the 6 sites. Red River sites were Emerson, Courchaine, Redboine and RMYC, the Assiniboine River site was the Forks, and the Nelson River site. The Nelson River was excluded from b), c)  and d) as the site only contained fibres.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2240" w:h="15840"/>
      <w:pgMar w:left="1800" w:right="180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Lucida Grande">
    <w:charset w:val="01"/>
    <w:family w:val="roman"/>
    <w:pitch w:val="variable"/>
  </w:font>
  <w:font w:name="Liberation Sans">
    <w:altName w:val="Arial"/>
    <w:charset w:val="01"/>
    <w:family w:val="swiss"/>
    <w:pitch w:val="variable"/>
  </w:font>
  <w:font w:name="Times">
    <w:altName w:val="Times New Roman"/>
    <w:charset w:val="01"/>
    <w:family w:val="roman"/>
    <w:pitch w:val="variable"/>
  </w:font>
  <w:font w:name="Times New Roman">
    <w:charset w:val="01"/>
    <w:family w:val="roman"/>
    <w:pitch w:val="variable"/>
  </w:font>
  <w:font w:name="Calibri">
    <w:charset w:val="01"/>
    <w:family w:val="roman"/>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mbria" w:hAnsi="Cambria" w:eastAsia="Droid Sans Fallback" w:cs=""/>
        <w:sz w:val="24"/>
        <w:szCs w:val="24"/>
        <w:lang w:val="en-US" w:eastAsia="en-US" w:bidi="ar-SA"/>
      </w:rPr>
    </w:rPrDefault>
    <w:pPrDefault>
      <w:pPr/>
    </w:pPrDefault>
  </w:docDefaults>
  <w:latentStyles w:count="276" w:defQFormat="0" w:defUnhideWhenUsed="1" w:defSemiHidden="1" w:defUIPriority="99" w:defLockedState="0">
    <w:lsdException w:unhideWhenUsed="0" w:semiHidden="0" w:qFormat="1" w:uiPriority="0" w:name="Normal"/>
    <w:lsdException w:unhideWhenUsed="0" w:semiHidden="0" w:qFormat="1"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unhideWhenUsed="0" w:semiHidden="0" w:qFormat="1" w:uiPriority="10" w:name="Title"/>
    <w:lsdException w:uiPriority="1" w:name="Default Paragraph Font"/>
    <w:lsdException w:unhideWhenUsed="0" w:semiHidden="0" w:qFormat="1" w:uiPriority="11" w:name="Subtitle"/>
    <w:lsdException w:unhideWhenUsed="0" w:semiHidden="0" w:qFormat="1" w:uiPriority="22" w:name="Strong"/>
    <w:lsdException w:unhideWhenUsed="0" w:semiHidden="0" w:qFormat="1" w:uiPriority="20" w:name="Emphasis"/>
    <w:lsdException w:unhideWhenUsed="0" w:semiHidden="0" w:uiPriority="59" w:name="Table Grid"/>
    <w:lsdException w:unhideWhenUsed="0" w:name="Placeholder Text"/>
    <w:lsdException w:unhideWhenUsed="0" w:semiHidden="0" w:qFormat="1"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unhideWhenUsed="0" w:semiHidden="0" w:qFormat="1" w:uiPriority="34" w:name="List Paragraph"/>
    <w:lsdException w:unhideWhenUsed="0" w:semiHidden="0" w:qFormat="1" w:uiPriority="29" w:name="Quote"/>
    <w:lsdException w:unhideWhenUsed="0" w:semiHidden="0" w:qFormat="1"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unhideWhenUsed="0" w:semiHidden="0" w:qFormat="1" w:uiPriority="19" w:name="Subtle Emphasis"/>
    <w:lsdException w:unhideWhenUsed="0" w:semiHidden="0" w:qFormat="1" w:uiPriority="21" w:name="Intense Emphasis"/>
    <w:lsdException w:unhideWhenUsed="0" w:semiHidden="0" w:qFormat="1" w:uiPriority="31" w:name="Subtle Reference"/>
    <w:lsdException w:unhideWhenUsed="0" w:semiHidden="0" w:qFormat="1" w:uiPriority="32" w:name="Intense Reference"/>
    <w:lsdException w:unhideWhenUsed="0" w:semiHidden="0" w:qFormat="1"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jc w:val="left"/>
    </w:pPr>
    <w:rPr>
      <w:rFonts w:ascii="Cambria" w:hAnsi="Cambria" w:eastAsia="Droid Sans Fallback" w:cs=""/>
      <w:color w:val="auto"/>
      <w:sz w:val="24"/>
      <w:szCs w:val="24"/>
      <w:lang w:val="en-US" w:eastAsia="en-US" w:bidi="ar-SA"/>
    </w:rPr>
  </w:style>
  <w:style w:type="character" w:styleId="DefaultParagraphFont" w:default="1">
    <w:name w:val="Default Paragraph Font"/>
    <w:uiPriority w:val="1"/>
    <w:unhideWhenUsed/>
    <w:rPr/>
  </w:style>
  <w:style w:type="character" w:styleId="BalloonTextChar" w:customStyle="1">
    <w:name w:val="Balloon Text Char"/>
    <w:uiPriority w:val="99"/>
    <w:semiHidden/>
    <w:link w:val="BalloonText"/>
    <w:rsid w:val="001960be"/>
    <w:basedOn w:val="DefaultParagraphFont"/>
    <w:rPr>
      <w:rFonts w:ascii="Lucida Grande" w:hAnsi="Lucida Grande" w:cs="Lucida Grande"/>
      <w:sz w:val="18"/>
      <w:szCs w:val="18"/>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BalloonText">
    <w:name w:val="Balloon Text"/>
    <w:uiPriority w:val="99"/>
    <w:semiHidden/>
    <w:unhideWhenUsed/>
    <w:link w:val="BalloonTextChar"/>
    <w:rsid w:val="001960be"/>
    <w:basedOn w:val="Normal"/>
    <w:pPr/>
    <w:rPr>
      <w:rFonts w:ascii="Lucida Grande" w:hAnsi="Lucida Grande" w:cs="Lucida Grande"/>
      <w:sz w:val="18"/>
      <w:szCs w:val="18"/>
    </w:rPr>
  </w:style>
  <w:style w:type="paragraph" w:styleId="NormalWeb">
    <w:name w:val="Normal (Web)"/>
    <w:uiPriority w:val="99"/>
    <w:unhideWhenUsed/>
    <w:rsid w:val="001960be"/>
    <w:basedOn w:val="Normal"/>
    <w:pPr>
      <w:spacing w:before="0" w:after="280"/>
    </w:pPr>
    <w:rPr>
      <w:rFonts w:ascii="Times" w:hAnsi="Times" w:cs="Times New Roman"/>
      <w:sz w:val="20"/>
      <w:szCs w:val="20"/>
      <w:lang w:val="en-CA"/>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 w:type="table" w:styleId="TableGrid">
    <w:name w:val="Table Grid"/>
    <w:basedOn w:val="TableNormal"/>
    <w:uiPriority w:val="59"/>
    <w:rsid w:val="00b2613e"/>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image" Target="media/image10.wmf"/><Relationship Id="rId12" Type="http://schemas.openxmlformats.org/officeDocument/2006/relationships/image" Target="media/image11.wmf"/><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Microsoft Macintosh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2017-07-18T13:32:53Z</dcterms:created>
  <dc:language>en-CA</dc:language>
  <cp:revision>1</cp:revision>
</cp:coreProperties>
</file>